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D0" w:rsidRDefault="009373D0">
      <w:pPr>
        <w:spacing w:line="600" w:lineRule="exact"/>
        <w:jc w:val="left"/>
        <w:rPr>
          <w:rFonts w:ascii="方正小标宋简体" w:eastAsia="方正小标宋简体" w:hAnsi="宋体"/>
          <w:color w:val="000000"/>
          <w:sz w:val="30"/>
          <w:szCs w:val="30"/>
        </w:rPr>
      </w:pPr>
      <w:bookmarkStart w:id="0" w:name="_Toc15306267"/>
    </w:p>
    <w:p w:rsidR="009373D0" w:rsidRDefault="009373D0">
      <w:pPr>
        <w:spacing w:line="600" w:lineRule="exact"/>
        <w:jc w:val="center"/>
        <w:rPr>
          <w:rFonts w:ascii="方正小标宋简体" w:eastAsia="方正小标宋简体" w:hAnsi="宋体"/>
          <w:color w:val="000000"/>
          <w:sz w:val="72"/>
          <w:szCs w:val="72"/>
        </w:rPr>
      </w:pPr>
    </w:p>
    <w:p w:rsidR="009373D0" w:rsidRDefault="009373D0">
      <w:pPr>
        <w:spacing w:line="600" w:lineRule="exact"/>
        <w:jc w:val="center"/>
        <w:rPr>
          <w:rFonts w:ascii="方正小标宋简体" w:eastAsia="方正小标宋简体" w:hAnsi="宋体"/>
          <w:color w:val="000000"/>
          <w:sz w:val="72"/>
          <w:szCs w:val="72"/>
        </w:rPr>
      </w:pPr>
    </w:p>
    <w:p w:rsidR="009373D0" w:rsidRDefault="009373D0">
      <w:pPr>
        <w:spacing w:line="600" w:lineRule="exact"/>
        <w:jc w:val="center"/>
        <w:rPr>
          <w:rFonts w:ascii="方正小标宋简体" w:eastAsia="方正小标宋简体" w:hAnsi="宋体"/>
          <w:color w:val="000000"/>
          <w:sz w:val="72"/>
          <w:szCs w:val="72"/>
        </w:rPr>
      </w:pPr>
    </w:p>
    <w:p w:rsidR="009373D0" w:rsidRDefault="0071238A">
      <w:pPr>
        <w:adjustRightInd w:val="0"/>
        <w:snapToGrid w:val="0"/>
        <w:spacing w:line="360" w:lineRule="auto"/>
        <w:jc w:val="center"/>
        <w:rPr>
          <w:rFonts w:ascii="方正小标宋简体" w:eastAsia="方正小标宋简体" w:hAnsi="宋体"/>
          <w:sz w:val="72"/>
          <w:szCs w:val="72"/>
        </w:rPr>
      </w:pPr>
      <w:bookmarkStart w:id="1" w:name="_Toc15377425"/>
      <w:bookmarkStart w:id="2" w:name="_Toc15396475"/>
      <w:bookmarkStart w:id="3" w:name="_Toc15377193"/>
      <w:bookmarkStart w:id="4" w:name="_Toc15378441"/>
      <w:bookmarkStart w:id="5" w:name="_Toc15396597"/>
      <w:r>
        <w:rPr>
          <w:rFonts w:ascii="黑体" w:eastAsia="黑体" w:hAnsi="黑体"/>
          <w:sz w:val="72"/>
          <w:szCs w:val="72"/>
        </w:rPr>
        <w:t>20</w:t>
      </w:r>
      <w:r>
        <w:rPr>
          <w:rFonts w:ascii="黑体" w:eastAsia="黑体" w:hAnsi="黑体" w:hint="eastAsia"/>
          <w:sz w:val="72"/>
          <w:szCs w:val="72"/>
        </w:rPr>
        <w:t>23</w:t>
      </w:r>
      <w:r>
        <w:rPr>
          <w:rFonts w:ascii="方正小标宋简体" w:eastAsia="方正小标宋简体" w:hAnsi="宋体" w:hint="eastAsia"/>
          <w:sz w:val="72"/>
          <w:szCs w:val="72"/>
        </w:rPr>
        <w:t>年度</w:t>
      </w:r>
      <w:bookmarkEnd w:id="1"/>
      <w:bookmarkEnd w:id="2"/>
      <w:bookmarkEnd w:id="3"/>
      <w:bookmarkEnd w:id="4"/>
      <w:bookmarkEnd w:id="5"/>
    </w:p>
    <w:p w:rsidR="009373D0" w:rsidRDefault="0071238A">
      <w:pPr>
        <w:adjustRightInd w:val="0"/>
        <w:snapToGrid w:val="0"/>
        <w:spacing w:line="360" w:lineRule="auto"/>
        <w:jc w:val="center"/>
        <w:outlineLvl w:val="0"/>
        <w:rPr>
          <w:rFonts w:ascii="方正小标宋简体" w:eastAsia="方正小标宋简体" w:hAnsi="宋体"/>
          <w:sz w:val="72"/>
          <w:szCs w:val="72"/>
        </w:rPr>
      </w:pPr>
      <w:bookmarkStart w:id="6" w:name="_Toc15396598"/>
      <w:bookmarkStart w:id="7" w:name="_Toc15377194"/>
      <w:bookmarkStart w:id="8" w:name="_Toc15378442"/>
      <w:bookmarkStart w:id="9" w:name="_Toc15396476"/>
      <w:bookmarkStart w:id="10" w:name="_Toc15377426"/>
      <w:bookmarkEnd w:id="0"/>
      <w:r>
        <w:rPr>
          <w:rFonts w:ascii="方正小标宋简体" w:eastAsia="方正小标宋简体" w:hAnsi="宋体" w:hint="eastAsia"/>
          <w:sz w:val="72"/>
          <w:szCs w:val="72"/>
        </w:rPr>
        <w:t>四川音乐学院单位决算</w:t>
      </w:r>
      <w:bookmarkEnd w:id="6"/>
      <w:bookmarkEnd w:id="7"/>
      <w:bookmarkEnd w:id="8"/>
      <w:bookmarkEnd w:id="9"/>
      <w:bookmarkEnd w:id="10"/>
    </w:p>
    <w:p w:rsidR="009373D0" w:rsidRDefault="009373D0">
      <w:pPr>
        <w:widowControl/>
        <w:jc w:val="center"/>
        <w:rPr>
          <w:rFonts w:ascii="黑体" w:eastAsia="黑体" w:hAnsi="黑体"/>
          <w:sz w:val="48"/>
          <w:szCs w:val="48"/>
        </w:rPr>
        <w:sectPr w:rsidR="009373D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p>
    <w:bookmarkStart w:id="11" w:name="_Toc15396599" w:displacedByCustomXml="next"/>
    <w:bookmarkStart w:id="12" w:name="_Toc15377196" w:displacedByCustomXml="next"/>
    <w:sdt>
      <w:sdtPr>
        <w:rPr>
          <w:rFonts w:ascii="宋体" w:eastAsia="黑体" w:hAnsi="宋体"/>
          <w:b/>
          <w:sz w:val="24"/>
          <w:szCs w:val="28"/>
        </w:rPr>
        <w:id w:val="147462419"/>
        <w:docPartObj>
          <w:docPartGallery w:val="Table of Contents"/>
          <w:docPartUnique/>
        </w:docPartObj>
      </w:sdtPr>
      <w:sdtEndPr>
        <w:rPr>
          <w:rFonts w:ascii="Arial" w:hAnsi="Arial"/>
        </w:rPr>
      </w:sdtEndPr>
      <w:sdtContent>
        <w:p w:rsidR="009373D0" w:rsidRDefault="0071238A">
          <w:pPr>
            <w:jc w:val="center"/>
          </w:pPr>
          <w:r>
            <w:rPr>
              <w:rFonts w:ascii="黑体" w:eastAsia="黑体" w:hAnsi="黑体" w:hint="eastAsia"/>
              <w:sz w:val="48"/>
              <w:szCs w:val="48"/>
            </w:rPr>
            <w:t>目录</w:t>
          </w:r>
        </w:p>
        <w:p w:rsidR="009373D0" w:rsidRDefault="0071238A">
          <w:pPr>
            <w:pStyle w:val="10"/>
          </w:pPr>
          <w:r>
            <w:rPr>
              <w:rFonts w:hint="eastAsia"/>
            </w:rPr>
            <w:t>公开时间：2024年9月13日</w:t>
          </w:r>
        </w:p>
        <w:p w:rsidR="009373D0" w:rsidRDefault="009373D0"/>
        <w:p w:rsidR="009373D0" w:rsidRPr="00DB404E" w:rsidRDefault="00012117">
          <w:pPr>
            <w:pStyle w:val="10"/>
            <w:tabs>
              <w:tab w:val="clear" w:pos="8296"/>
              <w:tab w:val="right" w:leader="dot" w:pos="8306"/>
            </w:tabs>
            <w:spacing w:line="480" w:lineRule="auto"/>
            <w:rPr>
              <w:rFonts w:ascii="Times New Roman" w:eastAsia="宋体" w:hAnsi="Times New Roman"/>
              <w:sz w:val="24"/>
              <w:szCs w:val="24"/>
            </w:rPr>
          </w:pPr>
          <w:r w:rsidRPr="00012117">
            <w:fldChar w:fldCharType="begin"/>
          </w:r>
          <w:r w:rsidR="0071238A">
            <w:instrText xml:space="preserve">TOC \o "1-3" \h \u </w:instrText>
          </w:r>
          <w:r w:rsidRPr="00012117">
            <w:fldChar w:fldCharType="separate"/>
          </w:r>
          <w:hyperlink w:anchor="_Toc30486" w:history="1">
            <w:r w:rsidR="0071238A" w:rsidRPr="00DB404E">
              <w:rPr>
                <w:rFonts w:ascii="黑体" w:eastAsia="黑体" w:hAnsi="黑体" w:hint="eastAsia"/>
                <w:sz w:val="24"/>
                <w:szCs w:val="24"/>
              </w:rPr>
              <w:t>第一部分 单位概况</w:t>
            </w:r>
            <w:r w:rsidR="0071238A" w:rsidRPr="00DB404E">
              <w:rPr>
                <w:rFonts w:ascii="Times New Roman" w:eastAsia="宋体" w:hAnsi="Times New Roman" w:hint="eastAsia"/>
                <w:sz w:val="24"/>
                <w:szCs w:val="24"/>
              </w:rPr>
              <w:tab/>
            </w:r>
            <w:r w:rsidRPr="00DB404E">
              <w:rPr>
                <w:rFonts w:ascii="Times New Roman" w:eastAsia="宋体" w:hAnsi="Times New Roman" w:hint="eastAsia"/>
                <w:sz w:val="24"/>
                <w:szCs w:val="24"/>
              </w:rPr>
              <w:fldChar w:fldCharType="begin"/>
            </w:r>
            <w:r w:rsidR="0071238A" w:rsidRPr="00DB404E">
              <w:rPr>
                <w:rFonts w:ascii="Times New Roman" w:eastAsia="宋体" w:hAnsi="Times New Roman" w:hint="eastAsia"/>
                <w:sz w:val="24"/>
                <w:szCs w:val="24"/>
              </w:rPr>
              <w:instrText xml:space="preserve"> PAGEREF _Toc30486 \h </w:instrText>
            </w:r>
            <w:r w:rsidRPr="00DB404E">
              <w:rPr>
                <w:rFonts w:ascii="Times New Roman" w:eastAsia="宋体" w:hAnsi="Times New Roman" w:hint="eastAsia"/>
                <w:sz w:val="24"/>
                <w:szCs w:val="24"/>
              </w:rPr>
            </w:r>
            <w:r w:rsidRPr="00DB404E">
              <w:rPr>
                <w:rFonts w:ascii="Times New Roman" w:eastAsia="宋体" w:hAnsi="Times New Roman" w:hint="eastAsia"/>
                <w:sz w:val="24"/>
                <w:szCs w:val="24"/>
              </w:rPr>
              <w:fldChar w:fldCharType="separate"/>
            </w:r>
            <w:r w:rsidR="00451965">
              <w:rPr>
                <w:rFonts w:ascii="Times New Roman" w:eastAsia="宋体" w:hAnsi="Times New Roman"/>
                <w:noProof/>
                <w:sz w:val="24"/>
                <w:szCs w:val="24"/>
              </w:rPr>
              <w:t>1</w:t>
            </w:r>
            <w:r w:rsidRPr="00DB404E">
              <w:rPr>
                <w:rFonts w:ascii="Times New Roman" w:eastAsia="宋体" w:hAnsi="Times New Roman" w:hint="eastAsia"/>
                <w:sz w:val="24"/>
                <w:szCs w:val="24"/>
              </w:rPr>
              <w:fldChar w:fldCharType="end"/>
            </w:r>
          </w:hyperlink>
        </w:p>
        <w:p w:rsidR="009373D0" w:rsidRDefault="00012117">
          <w:pPr>
            <w:pStyle w:val="20"/>
            <w:tabs>
              <w:tab w:val="clear" w:pos="8296"/>
              <w:tab w:val="right" w:leader="dot" w:pos="8306"/>
            </w:tabs>
            <w:spacing w:line="480" w:lineRule="auto"/>
            <w:rPr>
              <w:sz w:val="24"/>
            </w:rPr>
          </w:pPr>
          <w:hyperlink w:anchor="_Toc6744" w:history="1">
            <w:r w:rsidR="0071238A">
              <w:rPr>
                <w:rFonts w:hint="eastAsia"/>
                <w:sz w:val="24"/>
              </w:rPr>
              <w:t>一、主要职责</w:t>
            </w:r>
            <w:r w:rsidR="0091701B" w:rsidRPr="0091701B">
              <w:rPr>
                <w:rFonts w:hint="eastAsia"/>
                <w:sz w:val="24"/>
              </w:rPr>
              <w:tab/>
            </w:r>
          </w:hyperlink>
          <w:r w:rsidR="0091701B">
            <w:rPr>
              <w:rFonts w:hint="eastAsia"/>
            </w:rPr>
            <w:t>1</w:t>
          </w:r>
        </w:p>
        <w:p w:rsidR="009373D0" w:rsidRPr="00DB404E" w:rsidRDefault="00012117">
          <w:pPr>
            <w:pStyle w:val="20"/>
            <w:tabs>
              <w:tab w:val="clear" w:pos="8296"/>
              <w:tab w:val="right" w:leader="dot" w:pos="8306"/>
            </w:tabs>
            <w:spacing w:line="480" w:lineRule="auto"/>
            <w:rPr>
              <w:sz w:val="24"/>
            </w:rPr>
          </w:pPr>
          <w:hyperlink w:anchor="_Toc9199" w:history="1">
            <w:r w:rsidR="0071238A">
              <w:rPr>
                <w:rFonts w:hint="eastAsia"/>
                <w:sz w:val="24"/>
              </w:rPr>
              <w:t>二、机构设置</w:t>
            </w:r>
            <w:r w:rsidR="0071238A">
              <w:rPr>
                <w:rFonts w:hint="eastAsia"/>
                <w:sz w:val="24"/>
              </w:rPr>
              <w:tab/>
            </w:r>
            <w:r>
              <w:rPr>
                <w:rFonts w:hint="eastAsia"/>
                <w:sz w:val="24"/>
              </w:rPr>
              <w:fldChar w:fldCharType="begin"/>
            </w:r>
            <w:r w:rsidR="0071238A">
              <w:rPr>
                <w:rFonts w:hint="eastAsia"/>
                <w:sz w:val="24"/>
              </w:rPr>
              <w:instrText xml:space="preserve"> PAGEREF _Toc9199 \h </w:instrText>
            </w:r>
            <w:r>
              <w:rPr>
                <w:rFonts w:hint="eastAsia"/>
                <w:sz w:val="24"/>
              </w:rPr>
            </w:r>
            <w:r>
              <w:rPr>
                <w:rFonts w:hint="eastAsia"/>
                <w:sz w:val="24"/>
              </w:rPr>
              <w:fldChar w:fldCharType="separate"/>
            </w:r>
            <w:r w:rsidR="00451965">
              <w:rPr>
                <w:noProof/>
                <w:sz w:val="24"/>
              </w:rPr>
              <w:t>2</w:t>
            </w:r>
            <w:r>
              <w:rPr>
                <w:rFonts w:hint="eastAsia"/>
                <w:sz w:val="24"/>
              </w:rPr>
              <w:fldChar w:fldCharType="end"/>
            </w:r>
          </w:hyperlink>
        </w:p>
        <w:p w:rsidR="009373D0" w:rsidRDefault="00012117">
          <w:pPr>
            <w:pStyle w:val="10"/>
            <w:tabs>
              <w:tab w:val="clear" w:pos="8296"/>
              <w:tab w:val="right" w:leader="dot" w:pos="8306"/>
            </w:tabs>
            <w:spacing w:line="480" w:lineRule="auto"/>
            <w:rPr>
              <w:sz w:val="24"/>
            </w:rPr>
          </w:pPr>
          <w:hyperlink w:anchor="_Toc19520" w:history="1">
            <w:r w:rsidR="0071238A" w:rsidRPr="00DB404E">
              <w:rPr>
                <w:rFonts w:ascii="黑体" w:eastAsia="黑体" w:hAnsi="黑体" w:hint="eastAsia"/>
                <w:sz w:val="24"/>
                <w:szCs w:val="24"/>
              </w:rPr>
              <w:t>第二部分 2023年度单位决算情况说明</w:t>
            </w:r>
            <w:r w:rsidR="0071238A" w:rsidRPr="00DB404E">
              <w:rPr>
                <w:rFonts w:ascii="Times New Roman" w:eastAsia="宋体" w:hAnsi="Times New Roman" w:hint="eastAsia"/>
                <w:sz w:val="24"/>
                <w:szCs w:val="24"/>
              </w:rPr>
              <w:tab/>
            </w:r>
            <w:r w:rsidR="00567B18">
              <w:rPr>
                <w:rFonts w:ascii="Times New Roman" w:eastAsia="宋体" w:hAnsi="Times New Roman" w:hint="eastAsia"/>
                <w:sz w:val="24"/>
                <w:szCs w:val="24"/>
              </w:rPr>
              <w:t>5</w:t>
            </w:r>
          </w:hyperlink>
        </w:p>
        <w:p w:rsidR="009373D0" w:rsidRDefault="00012117">
          <w:pPr>
            <w:pStyle w:val="20"/>
            <w:tabs>
              <w:tab w:val="clear" w:pos="8296"/>
              <w:tab w:val="right" w:leader="dot" w:pos="8306"/>
            </w:tabs>
            <w:spacing w:line="480" w:lineRule="auto"/>
            <w:rPr>
              <w:sz w:val="24"/>
            </w:rPr>
          </w:pPr>
          <w:hyperlink w:anchor="_Toc26237" w:history="1">
            <w:r w:rsidR="0071238A">
              <w:rPr>
                <w:sz w:val="24"/>
              </w:rPr>
              <w:t>一、</w:t>
            </w:r>
            <w:r w:rsidR="0071238A">
              <w:rPr>
                <w:sz w:val="24"/>
              </w:rPr>
              <w:t xml:space="preserve"> </w:t>
            </w:r>
            <w:r w:rsidR="0071238A">
              <w:rPr>
                <w:rFonts w:hint="eastAsia"/>
                <w:sz w:val="24"/>
              </w:rPr>
              <w:t>收入支出决算总体情况说明</w:t>
            </w:r>
            <w:r w:rsidR="0071238A">
              <w:rPr>
                <w:rFonts w:hint="eastAsia"/>
                <w:sz w:val="24"/>
              </w:rPr>
              <w:tab/>
            </w:r>
            <w:r w:rsidR="00567B18">
              <w:rPr>
                <w:rFonts w:hint="eastAsia"/>
                <w:sz w:val="24"/>
              </w:rPr>
              <w:t>5</w:t>
            </w:r>
          </w:hyperlink>
        </w:p>
        <w:p w:rsidR="009373D0" w:rsidRDefault="00012117">
          <w:pPr>
            <w:pStyle w:val="20"/>
            <w:tabs>
              <w:tab w:val="clear" w:pos="8296"/>
              <w:tab w:val="right" w:leader="dot" w:pos="8306"/>
            </w:tabs>
            <w:spacing w:line="480" w:lineRule="auto"/>
            <w:rPr>
              <w:sz w:val="24"/>
            </w:rPr>
          </w:pPr>
          <w:hyperlink w:anchor="_Toc30441" w:history="1">
            <w:r w:rsidR="0071238A">
              <w:rPr>
                <w:sz w:val="24"/>
              </w:rPr>
              <w:t>二、</w:t>
            </w:r>
            <w:r w:rsidR="0071238A">
              <w:rPr>
                <w:sz w:val="24"/>
              </w:rPr>
              <w:t xml:space="preserve"> </w:t>
            </w:r>
            <w:r w:rsidR="0071238A">
              <w:rPr>
                <w:rFonts w:hint="eastAsia"/>
                <w:sz w:val="24"/>
              </w:rPr>
              <w:t>收入决算情况说明</w:t>
            </w:r>
            <w:r w:rsidR="0071238A">
              <w:rPr>
                <w:rFonts w:hint="eastAsia"/>
                <w:sz w:val="24"/>
              </w:rPr>
              <w:tab/>
            </w:r>
            <w:r w:rsidR="00567B18">
              <w:rPr>
                <w:rFonts w:hint="eastAsia"/>
                <w:sz w:val="24"/>
              </w:rPr>
              <w:t>6</w:t>
            </w:r>
          </w:hyperlink>
        </w:p>
        <w:p w:rsidR="009373D0" w:rsidRDefault="00012117">
          <w:pPr>
            <w:pStyle w:val="20"/>
            <w:tabs>
              <w:tab w:val="clear" w:pos="8296"/>
              <w:tab w:val="right" w:leader="dot" w:pos="8306"/>
            </w:tabs>
            <w:spacing w:line="480" w:lineRule="auto"/>
            <w:rPr>
              <w:sz w:val="24"/>
            </w:rPr>
          </w:pPr>
          <w:hyperlink w:anchor="_Toc7720" w:history="1">
            <w:r w:rsidR="0071238A">
              <w:rPr>
                <w:sz w:val="24"/>
              </w:rPr>
              <w:t>三、</w:t>
            </w:r>
            <w:r w:rsidR="0071238A">
              <w:rPr>
                <w:sz w:val="24"/>
              </w:rPr>
              <w:t xml:space="preserve"> </w:t>
            </w:r>
            <w:r w:rsidR="0071238A">
              <w:rPr>
                <w:rFonts w:hint="eastAsia"/>
                <w:sz w:val="24"/>
              </w:rPr>
              <w:t>支出决算情况说明</w:t>
            </w:r>
            <w:r w:rsidR="0071238A">
              <w:rPr>
                <w:rFonts w:hint="eastAsia"/>
                <w:sz w:val="24"/>
              </w:rPr>
              <w:tab/>
            </w:r>
            <w:r w:rsidR="00567B18">
              <w:rPr>
                <w:rFonts w:hint="eastAsia"/>
                <w:sz w:val="24"/>
              </w:rPr>
              <w:t>7</w:t>
            </w:r>
          </w:hyperlink>
        </w:p>
        <w:p w:rsidR="009373D0" w:rsidRDefault="00012117">
          <w:pPr>
            <w:pStyle w:val="20"/>
            <w:tabs>
              <w:tab w:val="clear" w:pos="8296"/>
              <w:tab w:val="right" w:leader="dot" w:pos="8306"/>
            </w:tabs>
            <w:spacing w:line="480" w:lineRule="auto"/>
            <w:rPr>
              <w:sz w:val="24"/>
            </w:rPr>
          </w:pPr>
          <w:hyperlink w:anchor="_Toc32023" w:history="1">
            <w:r w:rsidR="0071238A">
              <w:rPr>
                <w:rFonts w:hint="eastAsia"/>
                <w:sz w:val="24"/>
              </w:rPr>
              <w:t>四、财政拨款收入支出决算总体情况说明</w:t>
            </w:r>
            <w:r w:rsidR="0071238A">
              <w:rPr>
                <w:rFonts w:hint="eastAsia"/>
                <w:sz w:val="24"/>
              </w:rPr>
              <w:tab/>
            </w:r>
            <w:r w:rsidR="00567B18">
              <w:rPr>
                <w:rFonts w:hint="eastAsia"/>
                <w:sz w:val="24"/>
              </w:rPr>
              <w:t>8</w:t>
            </w:r>
          </w:hyperlink>
        </w:p>
        <w:p w:rsidR="009373D0" w:rsidRDefault="00012117">
          <w:pPr>
            <w:pStyle w:val="20"/>
            <w:tabs>
              <w:tab w:val="clear" w:pos="8296"/>
              <w:tab w:val="right" w:leader="dot" w:pos="8306"/>
            </w:tabs>
            <w:spacing w:line="480" w:lineRule="auto"/>
            <w:rPr>
              <w:sz w:val="24"/>
            </w:rPr>
          </w:pPr>
          <w:hyperlink w:anchor="_Toc1978" w:history="1">
            <w:r w:rsidR="0071238A">
              <w:rPr>
                <w:rFonts w:hint="eastAsia"/>
                <w:sz w:val="24"/>
              </w:rPr>
              <w:t>五、一般公共预算财政拨款支出决算情况说明</w:t>
            </w:r>
            <w:r w:rsidR="0071238A">
              <w:rPr>
                <w:rFonts w:hint="eastAsia"/>
                <w:sz w:val="24"/>
              </w:rPr>
              <w:tab/>
            </w:r>
            <w:r w:rsidR="00567B18">
              <w:rPr>
                <w:rFonts w:hint="eastAsia"/>
                <w:sz w:val="24"/>
              </w:rPr>
              <w:t>9</w:t>
            </w:r>
          </w:hyperlink>
        </w:p>
        <w:p w:rsidR="009373D0" w:rsidRDefault="00012117">
          <w:pPr>
            <w:pStyle w:val="20"/>
            <w:tabs>
              <w:tab w:val="clear" w:pos="8296"/>
              <w:tab w:val="right" w:leader="dot" w:pos="8306"/>
            </w:tabs>
            <w:spacing w:line="480" w:lineRule="auto"/>
            <w:rPr>
              <w:sz w:val="24"/>
            </w:rPr>
          </w:pPr>
          <w:hyperlink w:anchor="_Toc16687" w:history="1">
            <w:r w:rsidR="0071238A">
              <w:rPr>
                <w:rFonts w:hint="eastAsia"/>
                <w:sz w:val="24"/>
              </w:rPr>
              <w:t>（一）一般公共预算财政拨款支出决算总体情况</w:t>
            </w:r>
            <w:r w:rsidR="0071238A">
              <w:rPr>
                <w:rFonts w:hint="eastAsia"/>
                <w:sz w:val="24"/>
              </w:rPr>
              <w:tab/>
            </w:r>
            <w:r w:rsidR="00567B18">
              <w:rPr>
                <w:rFonts w:hint="eastAsia"/>
                <w:sz w:val="24"/>
              </w:rPr>
              <w:t>9</w:t>
            </w:r>
          </w:hyperlink>
        </w:p>
        <w:p w:rsidR="009373D0" w:rsidRDefault="00012117">
          <w:pPr>
            <w:pStyle w:val="20"/>
            <w:tabs>
              <w:tab w:val="clear" w:pos="8296"/>
              <w:tab w:val="right" w:leader="dot" w:pos="8306"/>
            </w:tabs>
            <w:spacing w:line="480" w:lineRule="auto"/>
            <w:rPr>
              <w:sz w:val="24"/>
            </w:rPr>
          </w:pPr>
          <w:hyperlink w:anchor="_Toc22946" w:history="1">
            <w:r w:rsidR="0071238A">
              <w:rPr>
                <w:rFonts w:hint="eastAsia"/>
                <w:sz w:val="24"/>
              </w:rPr>
              <w:t>（二）一般公共预算财政拨款支出决算结构情况</w:t>
            </w:r>
            <w:r w:rsidR="0071238A">
              <w:rPr>
                <w:rFonts w:hint="eastAsia"/>
                <w:sz w:val="24"/>
              </w:rPr>
              <w:tab/>
            </w:r>
            <w:r w:rsidR="00567B18">
              <w:rPr>
                <w:rFonts w:hint="eastAsia"/>
                <w:sz w:val="24"/>
              </w:rPr>
              <w:t>9</w:t>
            </w:r>
          </w:hyperlink>
        </w:p>
        <w:p w:rsidR="009373D0" w:rsidRDefault="00012117">
          <w:pPr>
            <w:pStyle w:val="20"/>
            <w:tabs>
              <w:tab w:val="clear" w:pos="8296"/>
              <w:tab w:val="right" w:leader="dot" w:pos="8306"/>
            </w:tabs>
            <w:spacing w:line="480" w:lineRule="auto"/>
            <w:rPr>
              <w:sz w:val="24"/>
            </w:rPr>
          </w:pPr>
          <w:hyperlink w:anchor="_Toc3846" w:history="1">
            <w:r w:rsidR="0071238A">
              <w:rPr>
                <w:rFonts w:hint="eastAsia"/>
                <w:sz w:val="24"/>
              </w:rPr>
              <w:t>（三）一般公共预算财政拨款支出决算具体情况</w:t>
            </w:r>
            <w:r w:rsidR="0071238A">
              <w:rPr>
                <w:rFonts w:hint="eastAsia"/>
                <w:sz w:val="24"/>
              </w:rPr>
              <w:tab/>
            </w:r>
            <w:r w:rsidR="00567B18">
              <w:rPr>
                <w:rFonts w:hint="eastAsia"/>
                <w:sz w:val="24"/>
              </w:rPr>
              <w:t>9</w:t>
            </w:r>
          </w:hyperlink>
        </w:p>
        <w:p w:rsidR="009373D0" w:rsidRDefault="00012117">
          <w:pPr>
            <w:pStyle w:val="20"/>
            <w:tabs>
              <w:tab w:val="clear" w:pos="8296"/>
              <w:tab w:val="right" w:leader="dot" w:pos="8306"/>
            </w:tabs>
            <w:spacing w:line="480" w:lineRule="auto"/>
            <w:rPr>
              <w:sz w:val="24"/>
            </w:rPr>
          </w:pPr>
          <w:hyperlink w:anchor="_Toc19223" w:history="1">
            <w:r w:rsidR="0071238A">
              <w:rPr>
                <w:rFonts w:hint="eastAsia"/>
                <w:sz w:val="24"/>
              </w:rPr>
              <w:t>六、一般公共预算财政拨款基本支出决算情况说明</w:t>
            </w:r>
            <w:r w:rsidR="0071238A">
              <w:rPr>
                <w:rFonts w:hint="eastAsia"/>
                <w:sz w:val="24"/>
              </w:rPr>
              <w:tab/>
            </w:r>
            <w:r w:rsidR="00567B18">
              <w:rPr>
                <w:rFonts w:hint="eastAsia"/>
                <w:sz w:val="24"/>
              </w:rPr>
              <w:t>10</w:t>
            </w:r>
          </w:hyperlink>
        </w:p>
        <w:p w:rsidR="009373D0" w:rsidRDefault="00012117">
          <w:pPr>
            <w:pStyle w:val="20"/>
            <w:tabs>
              <w:tab w:val="clear" w:pos="8296"/>
              <w:tab w:val="right" w:leader="dot" w:pos="8306"/>
            </w:tabs>
            <w:spacing w:line="480" w:lineRule="auto"/>
            <w:rPr>
              <w:sz w:val="24"/>
            </w:rPr>
          </w:pPr>
          <w:hyperlink w:anchor="_Toc14554" w:history="1">
            <w:r w:rsidR="0071238A">
              <w:rPr>
                <w:rFonts w:hint="eastAsia"/>
                <w:sz w:val="24"/>
              </w:rPr>
              <w:t>七、“三公”经费财政拨款支出决算情况说明</w:t>
            </w:r>
            <w:r w:rsidR="0071238A">
              <w:rPr>
                <w:rFonts w:hint="eastAsia"/>
                <w:sz w:val="24"/>
              </w:rPr>
              <w:tab/>
            </w:r>
            <w:r w:rsidR="00567B18">
              <w:rPr>
                <w:rFonts w:hint="eastAsia"/>
                <w:sz w:val="24"/>
              </w:rPr>
              <w:t>11</w:t>
            </w:r>
          </w:hyperlink>
        </w:p>
        <w:p w:rsidR="009373D0" w:rsidRDefault="00012117">
          <w:pPr>
            <w:pStyle w:val="20"/>
            <w:tabs>
              <w:tab w:val="clear" w:pos="8296"/>
              <w:tab w:val="right" w:leader="dot" w:pos="8306"/>
            </w:tabs>
            <w:spacing w:line="480" w:lineRule="auto"/>
            <w:rPr>
              <w:sz w:val="24"/>
            </w:rPr>
          </w:pPr>
          <w:hyperlink w:anchor="_Toc9631" w:history="1">
            <w:r w:rsidR="0071238A">
              <w:rPr>
                <w:rFonts w:hint="eastAsia"/>
                <w:sz w:val="24"/>
              </w:rPr>
              <w:t>（一）“三公”经费财政拨款支出决算总体情况说明</w:t>
            </w:r>
            <w:r w:rsidR="0071238A">
              <w:rPr>
                <w:rFonts w:hint="eastAsia"/>
                <w:sz w:val="24"/>
              </w:rPr>
              <w:tab/>
            </w:r>
            <w:r w:rsidR="00567B18">
              <w:rPr>
                <w:rFonts w:hint="eastAsia"/>
                <w:sz w:val="24"/>
              </w:rPr>
              <w:t>11</w:t>
            </w:r>
          </w:hyperlink>
        </w:p>
        <w:p w:rsidR="009373D0" w:rsidRDefault="00012117">
          <w:pPr>
            <w:pStyle w:val="20"/>
            <w:tabs>
              <w:tab w:val="clear" w:pos="8296"/>
              <w:tab w:val="right" w:leader="dot" w:pos="8306"/>
            </w:tabs>
            <w:spacing w:line="480" w:lineRule="auto"/>
            <w:rPr>
              <w:sz w:val="24"/>
            </w:rPr>
          </w:pPr>
          <w:hyperlink w:anchor="_Toc10583" w:history="1">
            <w:r w:rsidR="0071238A">
              <w:rPr>
                <w:rFonts w:hint="eastAsia"/>
                <w:sz w:val="24"/>
              </w:rPr>
              <w:t>（二）“三公”经费财政拨款支出决算具体情况说明</w:t>
            </w:r>
            <w:r w:rsidR="0071238A">
              <w:rPr>
                <w:rFonts w:hint="eastAsia"/>
                <w:sz w:val="24"/>
              </w:rPr>
              <w:tab/>
            </w:r>
            <w:r w:rsidR="00567B18">
              <w:rPr>
                <w:rFonts w:hint="eastAsia"/>
                <w:sz w:val="24"/>
              </w:rPr>
              <w:t>11</w:t>
            </w:r>
          </w:hyperlink>
        </w:p>
        <w:p w:rsidR="009373D0" w:rsidRDefault="00012117">
          <w:pPr>
            <w:pStyle w:val="20"/>
            <w:tabs>
              <w:tab w:val="clear" w:pos="8296"/>
              <w:tab w:val="right" w:leader="dot" w:pos="8306"/>
            </w:tabs>
            <w:spacing w:line="480" w:lineRule="auto"/>
            <w:rPr>
              <w:sz w:val="24"/>
            </w:rPr>
          </w:pPr>
          <w:hyperlink w:anchor="_Toc15238" w:history="1">
            <w:r w:rsidR="0071238A">
              <w:rPr>
                <w:rFonts w:hint="eastAsia"/>
                <w:sz w:val="24"/>
              </w:rPr>
              <w:t>八、政府性基金预算支出决算情况说明</w:t>
            </w:r>
            <w:r w:rsidR="0071238A">
              <w:rPr>
                <w:rFonts w:hint="eastAsia"/>
                <w:sz w:val="24"/>
              </w:rPr>
              <w:tab/>
            </w:r>
            <w:r>
              <w:rPr>
                <w:rFonts w:hint="eastAsia"/>
                <w:sz w:val="24"/>
              </w:rPr>
              <w:fldChar w:fldCharType="begin"/>
            </w:r>
            <w:r w:rsidR="0071238A">
              <w:rPr>
                <w:rFonts w:hint="eastAsia"/>
                <w:sz w:val="24"/>
              </w:rPr>
              <w:instrText xml:space="preserve"> PAGEREF _Toc15238 \h </w:instrText>
            </w:r>
            <w:r>
              <w:rPr>
                <w:rFonts w:hint="eastAsia"/>
                <w:sz w:val="24"/>
              </w:rPr>
            </w:r>
            <w:r>
              <w:rPr>
                <w:rFonts w:hint="eastAsia"/>
                <w:sz w:val="24"/>
              </w:rPr>
              <w:fldChar w:fldCharType="separate"/>
            </w:r>
            <w:r w:rsidR="00451965">
              <w:rPr>
                <w:noProof/>
                <w:sz w:val="24"/>
              </w:rPr>
              <w:t>12</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31394" w:history="1">
            <w:r w:rsidR="0071238A">
              <w:rPr>
                <w:rFonts w:hint="eastAsia"/>
                <w:sz w:val="24"/>
              </w:rPr>
              <w:t>九、</w:t>
            </w:r>
            <w:r w:rsidR="0071238A">
              <w:rPr>
                <w:rFonts w:hint="eastAsia"/>
                <w:sz w:val="24"/>
              </w:rPr>
              <w:t xml:space="preserve"> </w:t>
            </w:r>
            <w:r w:rsidR="0071238A">
              <w:rPr>
                <w:rFonts w:hint="eastAsia"/>
                <w:sz w:val="24"/>
              </w:rPr>
              <w:t>国有资本经营预算支出决算情况说明</w:t>
            </w:r>
            <w:r w:rsidR="0071238A">
              <w:rPr>
                <w:rFonts w:hint="eastAsia"/>
                <w:sz w:val="24"/>
              </w:rPr>
              <w:tab/>
            </w:r>
            <w:r>
              <w:rPr>
                <w:rFonts w:hint="eastAsia"/>
                <w:sz w:val="24"/>
              </w:rPr>
              <w:fldChar w:fldCharType="begin"/>
            </w:r>
            <w:r w:rsidR="0071238A">
              <w:rPr>
                <w:rFonts w:hint="eastAsia"/>
                <w:sz w:val="24"/>
              </w:rPr>
              <w:instrText xml:space="preserve"> PAGEREF _Toc31394 \h </w:instrText>
            </w:r>
            <w:r>
              <w:rPr>
                <w:rFonts w:hint="eastAsia"/>
                <w:sz w:val="24"/>
              </w:rPr>
            </w:r>
            <w:r>
              <w:rPr>
                <w:rFonts w:hint="eastAsia"/>
                <w:sz w:val="24"/>
              </w:rPr>
              <w:fldChar w:fldCharType="separate"/>
            </w:r>
            <w:r w:rsidR="00451965">
              <w:rPr>
                <w:noProof/>
                <w:sz w:val="24"/>
              </w:rPr>
              <w:t>12</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3123" w:history="1">
            <w:r w:rsidR="0071238A">
              <w:rPr>
                <w:rFonts w:hint="eastAsia"/>
                <w:sz w:val="24"/>
              </w:rPr>
              <w:t>十、</w:t>
            </w:r>
            <w:r w:rsidR="0071238A">
              <w:rPr>
                <w:rFonts w:hint="eastAsia"/>
                <w:sz w:val="24"/>
              </w:rPr>
              <w:t xml:space="preserve"> </w:t>
            </w:r>
            <w:r w:rsidR="0071238A">
              <w:rPr>
                <w:rFonts w:hint="eastAsia"/>
                <w:sz w:val="24"/>
              </w:rPr>
              <w:t>其他重要事项的情况说明</w:t>
            </w:r>
            <w:r w:rsidR="0071238A">
              <w:rPr>
                <w:rFonts w:hint="eastAsia"/>
                <w:sz w:val="24"/>
              </w:rPr>
              <w:tab/>
            </w:r>
            <w:r>
              <w:rPr>
                <w:rFonts w:hint="eastAsia"/>
                <w:sz w:val="24"/>
              </w:rPr>
              <w:fldChar w:fldCharType="begin"/>
            </w:r>
            <w:r w:rsidR="0071238A">
              <w:rPr>
                <w:rFonts w:hint="eastAsia"/>
                <w:sz w:val="24"/>
              </w:rPr>
              <w:instrText xml:space="preserve"> PAGEREF _Toc13123 \h </w:instrText>
            </w:r>
            <w:r>
              <w:rPr>
                <w:rFonts w:hint="eastAsia"/>
                <w:sz w:val="24"/>
              </w:rPr>
            </w:r>
            <w:r>
              <w:rPr>
                <w:rFonts w:hint="eastAsia"/>
                <w:sz w:val="24"/>
              </w:rPr>
              <w:fldChar w:fldCharType="separate"/>
            </w:r>
            <w:r w:rsidR="00451965">
              <w:rPr>
                <w:noProof/>
                <w:sz w:val="24"/>
              </w:rPr>
              <w:t>12</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5265" w:history="1">
            <w:r w:rsidR="0071238A">
              <w:rPr>
                <w:rFonts w:hint="eastAsia"/>
                <w:sz w:val="24"/>
              </w:rPr>
              <w:t>（一）机关运行经费支出情况</w:t>
            </w:r>
            <w:r w:rsidR="0071238A">
              <w:rPr>
                <w:rFonts w:hint="eastAsia"/>
                <w:sz w:val="24"/>
              </w:rPr>
              <w:tab/>
            </w:r>
            <w:r>
              <w:rPr>
                <w:rFonts w:hint="eastAsia"/>
                <w:sz w:val="24"/>
              </w:rPr>
              <w:fldChar w:fldCharType="begin"/>
            </w:r>
            <w:r w:rsidR="0071238A">
              <w:rPr>
                <w:rFonts w:hint="eastAsia"/>
                <w:sz w:val="24"/>
              </w:rPr>
              <w:instrText xml:space="preserve"> PAGEREF _Toc25265 \h </w:instrText>
            </w:r>
            <w:r>
              <w:rPr>
                <w:rFonts w:hint="eastAsia"/>
                <w:sz w:val="24"/>
              </w:rPr>
            </w:r>
            <w:r>
              <w:rPr>
                <w:rFonts w:hint="eastAsia"/>
                <w:sz w:val="24"/>
              </w:rPr>
              <w:fldChar w:fldCharType="separate"/>
            </w:r>
            <w:r w:rsidR="00451965">
              <w:rPr>
                <w:noProof/>
                <w:sz w:val="24"/>
              </w:rPr>
              <w:t>12</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2245" w:history="1">
            <w:r w:rsidR="0071238A">
              <w:rPr>
                <w:rFonts w:hint="eastAsia"/>
                <w:sz w:val="24"/>
              </w:rPr>
              <w:t>（二）政府采购支出情况</w:t>
            </w:r>
            <w:r w:rsidR="0071238A">
              <w:rPr>
                <w:rFonts w:hint="eastAsia"/>
                <w:sz w:val="24"/>
              </w:rPr>
              <w:tab/>
            </w:r>
            <w:r>
              <w:rPr>
                <w:rFonts w:hint="eastAsia"/>
                <w:sz w:val="24"/>
              </w:rPr>
              <w:fldChar w:fldCharType="begin"/>
            </w:r>
            <w:r w:rsidR="0071238A">
              <w:rPr>
                <w:rFonts w:hint="eastAsia"/>
                <w:sz w:val="24"/>
              </w:rPr>
              <w:instrText xml:space="preserve"> PAGEREF _Toc22245 \h </w:instrText>
            </w:r>
            <w:r>
              <w:rPr>
                <w:rFonts w:hint="eastAsia"/>
                <w:sz w:val="24"/>
              </w:rPr>
            </w:r>
            <w:r>
              <w:rPr>
                <w:rFonts w:hint="eastAsia"/>
                <w:sz w:val="24"/>
              </w:rPr>
              <w:fldChar w:fldCharType="separate"/>
            </w:r>
            <w:r w:rsidR="00451965">
              <w:rPr>
                <w:noProof/>
                <w:sz w:val="24"/>
              </w:rPr>
              <w:t>13</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921" w:history="1">
            <w:r w:rsidR="0071238A">
              <w:rPr>
                <w:rFonts w:hint="eastAsia"/>
                <w:sz w:val="24"/>
              </w:rPr>
              <w:t>（三）国有资产占有使用情况</w:t>
            </w:r>
            <w:r w:rsidR="0071238A">
              <w:rPr>
                <w:rFonts w:hint="eastAsia"/>
                <w:sz w:val="24"/>
              </w:rPr>
              <w:tab/>
            </w:r>
            <w:r>
              <w:rPr>
                <w:rFonts w:hint="eastAsia"/>
                <w:sz w:val="24"/>
              </w:rPr>
              <w:fldChar w:fldCharType="begin"/>
            </w:r>
            <w:r w:rsidR="0071238A">
              <w:rPr>
                <w:rFonts w:hint="eastAsia"/>
                <w:sz w:val="24"/>
              </w:rPr>
              <w:instrText xml:space="preserve"> PAGEREF _Toc1921 \h </w:instrText>
            </w:r>
            <w:r>
              <w:rPr>
                <w:rFonts w:hint="eastAsia"/>
                <w:sz w:val="24"/>
              </w:rPr>
            </w:r>
            <w:r>
              <w:rPr>
                <w:rFonts w:hint="eastAsia"/>
                <w:sz w:val="24"/>
              </w:rPr>
              <w:fldChar w:fldCharType="separate"/>
            </w:r>
            <w:r w:rsidR="00451965">
              <w:rPr>
                <w:noProof/>
                <w:sz w:val="24"/>
              </w:rPr>
              <w:t>13</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0471" w:history="1">
            <w:r w:rsidR="0071238A">
              <w:rPr>
                <w:rFonts w:hint="eastAsia"/>
                <w:sz w:val="24"/>
              </w:rPr>
              <w:t>（四）预算绩效管理情况</w:t>
            </w:r>
            <w:r w:rsidR="0071238A">
              <w:rPr>
                <w:rFonts w:hint="eastAsia"/>
                <w:sz w:val="24"/>
              </w:rPr>
              <w:tab/>
            </w:r>
            <w:r>
              <w:rPr>
                <w:rFonts w:hint="eastAsia"/>
                <w:sz w:val="24"/>
              </w:rPr>
              <w:fldChar w:fldCharType="begin"/>
            </w:r>
            <w:r w:rsidR="0071238A">
              <w:rPr>
                <w:rFonts w:hint="eastAsia"/>
                <w:sz w:val="24"/>
              </w:rPr>
              <w:instrText xml:space="preserve"> PAGEREF _Toc20471 \h </w:instrText>
            </w:r>
            <w:r>
              <w:rPr>
                <w:rFonts w:hint="eastAsia"/>
                <w:sz w:val="24"/>
              </w:rPr>
            </w:r>
            <w:r>
              <w:rPr>
                <w:rFonts w:hint="eastAsia"/>
                <w:sz w:val="24"/>
              </w:rPr>
              <w:fldChar w:fldCharType="separate"/>
            </w:r>
            <w:r w:rsidR="00451965">
              <w:rPr>
                <w:noProof/>
                <w:sz w:val="24"/>
              </w:rPr>
              <w:t>13</w:t>
            </w:r>
            <w:r>
              <w:rPr>
                <w:rFonts w:hint="eastAsia"/>
                <w:sz w:val="24"/>
              </w:rPr>
              <w:fldChar w:fldCharType="end"/>
            </w:r>
          </w:hyperlink>
        </w:p>
        <w:p w:rsidR="009373D0" w:rsidRPr="00DB404E" w:rsidRDefault="00012117">
          <w:pPr>
            <w:pStyle w:val="10"/>
            <w:tabs>
              <w:tab w:val="clear" w:pos="8296"/>
              <w:tab w:val="right" w:leader="dot" w:pos="8306"/>
            </w:tabs>
            <w:spacing w:line="480" w:lineRule="auto"/>
            <w:rPr>
              <w:rFonts w:ascii="Times New Roman" w:eastAsia="宋体" w:hAnsi="Times New Roman"/>
              <w:sz w:val="24"/>
              <w:szCs w:val="24"/>
            </w:rPr>
          </w:pPr>
          <w:hyperlink w:anchor="_Toc8682" w:history="1">
            <w:r w:rsidR="0071238A" w:rsidRPr="00DB404E">
              <w:rPr>
                <w:rFonts w:ascii="黑体" w:eastAsia="黑体" w:hAnsi="黑体" w:hint="eastAsia"/>
                <w:sz w:val="24"/>
                <w:szCs w:val="24"/>
              </w:rPr>
              <w:t>第三部分 名词解释</w:t>
            </w:r>
            <w:r w:rsidR="0071238A" w:rsidRPr="00DB404E">
              <w:rPr>
                <w:rFonts w:ascii="Times New Roman" w:eastAsia="宋体" w:hAnsi="Times New Roman" w:hint="eastAsia"/>
                <w:sz w:val="24"/>
                <w:szCs w:val="24"/>
              </w:rPr>
              <w:tab/>
            </w:r>
            <w:r w:rsidRPr="00DB404E">
              <w:rPr>
                <w:rFonts w:ascii="Times New Roman" w:eastAsia="宋体" w:hAnsi="Times New Roman" w:hint="eastAsia"/>
                <w:sz w:val="24"/>
                <w:szCs w:val="24"/>
              </w:rPr>
              <w:fldChar w:fldCharType="begin"/>
            </w:r>
            <w:r w:rsidR="0071238A" w:rsidRPr="00DB404E">
              <w:rPr>
                <w:rFonts w:ascii="Times New Roman" w:eastAsia="宋体" w:hAnsi="Times New Roman" w:hint="eastAsia"/>
                <w:sz w:val="24"/>
                <w:szCs w:val="24"/>
              </w:rPr>
              <w:instrText xml:space="preserve"> PAGEREF _Toc8682 \h </w:instrText>
            </w:r>
            <w:r w:rsidRPr="00DB404E">
              <w:rPr>
                <w:rFonts w:ascii="Times New Roman" w:eastAsia="宋体" w:hAnsi="Times New Roman" w:hint="eastAsia"/>
                <w:sz w:val="24"/>
                <w:szCs w:val="24"/>
              </w:rPr>
            </w:r>
            <w:r w:rsidRPr="00DB404E">
              <w:rPr>
                <w:rFonts w:ascii="Times New Roman" w:eastAsia="宋体" w:hAnsi="Times New Roman" w:hint="eastAsia"/>
                <w:sz w:val="24"/>
                <w:szCs w:val="24"/>
              </w:rPr>
              <w:fldChar w:fldCharType="separate"/>
            </w:r>
            <w:r w:rsidR="00451965">
              <w:rPr>
                <w:rFonts w:ascii="Times New Roman" w:eastAsia="宋体" w:hAnsi="Times New Roman"/>
                <w:noProof/>
                <w:sz w:val="24"/>
                <w:szCs w:val="24"/>
              </w:rPr>
              <w:t>14</w:t>
            </w:r>
            <w:r w:rsidRPr="00DB404E">
              <w:rPr>
                <w:rFonts w:ascii="Times New Roman" w:eastAsia="宋体" w:hAnsi="Times New Roman" w:hint="eastAsia"/>
                <w:sz w:val="24"/>
                <w:szCs w:val="24"/>
              </w:rPr>
              <w:fldChar w:fldCharType="end"/>
            </w:r>
          </w:hyperlink>
        </w:p>
        <w:p w:rsidR="009373D0" w:rsidRPr="00DB404E" w:rsidRDefault="00012117">
          <w:pPr>
            <w:pStyle w:val="10"/>
            <w:tabs>
              <w:tab w:val="clear" w:pos="8296"/>
              <w:tab w:val="right" w:leader="dot" w:pos="8306"/>
            </w:tabs>
            <w:spacing w:line="480" w:lineRule="auto"/>
            <w:rPr>
              <w:rFonts w:ascii="Times New Roman" w:eastAsia="宋体" w:hAnsi="Times New Roman"/>
              <w:sz w:val="24"/>
              <w:szCs w:val="24"/>
            </w:rPr>
          </w:pPr>
          <w:hyperlink w:anchor="_Toc15232" w:history="1">
            <w:r w:rsidR="0071238A" w:rsidRPr="00DB404E">
              <w:rPr>
                <w:rFonts w:ascii="黑体" w:eastAsia="黑体" w:hAnsi="黑体" w:hint="eastAsia"/>
                <w:sz w:val="24"/>
                <w:szCs w:val="24"/>
              </w:rPr>
              <w:t>第四部分 附件</w:t>
            </w:r>
            <w:r w:rsidR="0071238A" w:rsidRPr="00DB404E">
              <w:rPr>
                <w:rFonts w:ascii="Times New Roman" w:eastAsia="宋体" w:hAnsi="Times New Roman" w:hint="eastAsia"/>
                <w:sz w:val="24"/>
                <w:szCs w:val="24"/>
              </w:rPr>
              <w:tab/>
            </w:r>
            <w:r w:rsidRPr="00DB404E">
              <w:rPr>
                <w:rFonts w:ascii="Times New Roman" w:eastAsia="宋体" w:hAnsi="Times New Roman" w:hint="eastAsia"/>
                <w:sz w:val="24"/>
                <w:szCs w:val="24"/>
              </w:rPr>
              <w:fldChar w:fldCharType="begin"/>
            </w:r>
            <w:r w:rsidR="0071238A" w:rsidRPr="00DB404E">
              <w:rPr>
                <w:rFonts w:ascii="Times New Roman" w:eastAsia="宋体" w:hAnsi="Times New Roman" w:hint="eastAsia"/>
                <w:sz w:val="24"/>
                <w:szCs w:val="24"/>
              </w:rPr>
              <w:instrText xml:space="preserve"> PAGEREF _Toc15232 \h </w:instrText>
            </w:r>
            <w:r w:rsidRPr="00DB404E">
              <w:rPr>
                <w:rFonts w:ascii="Times New Roman" w:eastAsia="宋体" w:hAnsi="Times New Roman" w:hint="eastAsia"/>
                <w:sz w:val="24"/>
                <w:szCs w:val="24"/>
              </w:rPr>
            </w:r>
            <w:r w:rsidRPr="00DB404E">
              <w:rPr>
                <w:rFonts w:ascii="Times New Roman" w:eastAsia="宋体" w:hAnsi="Times New Roman" w:hint="eastAsia"/>
                <w:sz w:val="24"/>
                <w:szCs w:val="24"/>
              </w:rPr>
              <w:fldChar w:fldCharType="separate"/>
            </w:r>
            <w:r w:rsidR="00451965">
              <w:rPr>
                <w:rFonts w:ascii="Times New Roman" w:eastAsia="宋体" w:hAnsi="Times New Roman"/>
                <w:noProof/>
                <w:sz w:val="24"/>
                <w:szCs w:val="24"/>
              </w:rPr>
              <w:t>17</w:t>
            </w:r>
            <w:r w:rsidRPr="00DB404E">
              <w:rPr>
                <w:rFonts w:ascii="Times New Roman" w:eastAsia="宋体" w:hAnsi="Times New Roman" w:hint="eastAsia"/>
                <w:sz w:val="24"/>
                <w:szCs w:val="24"/>
              </w:rPr>
              <w:fldChar w:fldCharType="end"/>
            </w:r>
          </w:hyperlink>
        </w:p>
        <w:p w:rsidR="009373D0" w:rsidRDefault="0071238A">
          <w:pPr>
            <w:spacing w:line="600" w:lineRule="exact"/>
            <w:ind w:firstLineChars="200" w:firstLine="480"/>
            <w:rPr>
              <w:sz w:val="24"/>
            </w:rPr>
          </w:pPr>
          <w:r>
            <w:rPr>
              <w:rFonts w:hint="eastAsia"/>
              <w:sz w:val="24"/>
            </w:rPr>
            <w:t>部门预算项目支出绩效自评表（</w:t>
          </w:r>
          <w:r>
            <w:rPr>
              <w:rFonts w:hint="eastAsia"/>
              <w:sz w:val="24"/>
            </w:rPr>
            <w:t>2023</w:t>
          </w:r>
          <w:r>
            <w:rPr>
              <w:rFonts w:hint="eastAsia"/>
              <w:sz w:val="24"/>
            </w:rPr>
            <w:t>年度）</w:t>
          </w:r>
        </w:p>
        <w:p w:rsidR="009373D0" w:rsidRPr="00DB404E" w:rsidRDefault="00012117">
          <w:pPr>
            <w:pStyle w:val="10"/>
            <w:tabs>
              <w:tab w:val="clear" w:pos="8296"/>
              <w:tab w:val="right" w:leader="dot" w:pos="8306"/>
            </w:tabs>
            <w:spacing w:line="480" w:lineRule="auto"/>
            <w:rPr>
              <w:rFonts w:ascii="Times New Roman" w:eastAsia="宋体" w:hAnsi="Times New Roman"/>
              <w:sz w:val="24"/>
              <w:szCs w:val="24"/>
            </w:rPr>
          </w:pPr>
          <w:hyperlink w:anchor="_Toc19487" w:history="1">
            <w:r w:rsidR="0071238A" w:rsidRPr="00DB404E">
              <w:rPr>
                <w:rFonts w:ascii="黑体" w:eastAsia="黑体" w:hAnsi="黑体" w:hint="eastAsia"/>
                <w:sz w:val="24"/>
                <w:szCs w:val="24"/>
              </w:rPr>
              <w:t>第五部分 附表</w:t>
            </w:r>
            <w:r w:rsidR="0071238A" w:rsidRPr="00DB404E">
              <w:rPr>
                <w:rFonts w:ascii="Times New Roman" w:eastAsia="宋体" w:hAnsi="Times New Roman" w:hint="eastAsia"/>
                <w:sz w:val="24"/>
                <w:szCs w:val="24"/>
              </w:rPr>
              <w:tab/>
            </w:r>
            <w:r w:rsidRPr="00DB404E">
              <w:rPr>
                <w:rFonts w:ascii="Times New Roman" w:eastAsia="宋体" w:hAnsi="Times New Roman" w:hint="eastAsia"/>
                <w:sz w:val="24"/>
                <w:szCs w:val="24"/>
              </w:rPr>
              <w:fldChar w:fldCharType="begin"/>
            </w:r>
            <w:r w:rsidR="0071238A" w:rsidRPr="00DB404E">
              <w:rPr>
                <w:rFonts w:ascii="Times New Roman" w:eastAsia="宋体" w:hAnsi="Times New Roman" w:hint="eastAsia"/>
                <w:sz w:val="24"/>
                <w:szCs w:val="24"/>
              </w:rPr>
              <w:instrText xml:space="preserve"> PAGEREF _Toc19487 \h </w:instrText>
            </w:r>
            <w:r w:rsidRPr="00DB404E">
              <w:rPr>
                <w:rFonts w:ascii="Times New Roman" w:eastAsia="宋体" w:hAnsi="Times New Roman" w:hint="eastAsia"/>
                <w:sz w:val="24"/>
                <w:szCs w:val="24"/>
              </w:rPr>
            </w:r>
            <w:r w:rsidRPr="00DB404E">
              <w:rPr>
                <w:rFonts w:ascii="Times New Roman" w:eastAsia="宋体" w:hAnsi="Times New Roman" w:hint="eastAsia"/>
                <w:sz w:val="24"/>
                <w:szCs w:val="24"/>
              </w:rPr>
              <w:fldChar w:fldCharType="separate"/>
            </w:r>
            <w:r w:rsidR="00451965">
              <w:rPr>
                <w:rFonts w:ascii="Times New Roman" w:eastAsia="宋体" w:hAnsi="Times New Roman"/>
                <w:noProof/>
                <w:sz w:val="24"/>
                <w:szCs w:val="24"/>
              </w:rPr>
              <w:t>18</w:t>
            </w:r>
            <w:r w:rsidRPr="00DB404E">
              <w:rPr>
                <w:rFonts w:ascii="Times New Roman" w:eastAsia="宋体" w:hAnsi="Times New Roman" w:hint="eastAsia"/>
                <w:sz w:val="24"/>
                <w:szCs w:val="24"/>
              </w:rPr>
              <w:fldChar w:fldCharType="end"/>
            </w:r>
          </w:hyperlink>
        </w:p>
        <w:p w:rsidR="009373D0" w:rsidRDefault="00012117">
          <w:pPr>
            <w:pStyle w:val="20"/>
            <w:tabs>
              <w:tab w:val="clear" w:pos="8296"/>
              <w:tab w:val="right" w:leader="dot" w:pos="8306"/>
            </w:tabs>
            <w:spacing w:line="480" w:lineRule="auto"/>
            <w:rPr>
              <w:sz w:val="24"/>
            </w:rPr>
          </w:pPr>
          <w:hyperlink w:anchor="_Toc7948" w:history="1">
            <w:r w:rsidR="0071238A">
              <w:rPr>
                <w:rFonts w:hint="eastAsia"/>
                <w:sz w:val="24"/>
              </w:rPr>
              <w:t>一、收入支出决算总表</w:t>
            </w:r>
            <w:r w:rsidR="0071238A">
              <w:rPr>
                <w:rFonts w:hint="eastAsia"/>
                <w:sz w:val="24"/>
              </w:rPr>
              <w:tab/>
            </w:r>
            <w:r>
              <w:rPr>
                <w:rFonts w:hint="eastAsia"/>
                <w:sz w:val="24"/>
              </w:rPr>
              <w:fldChar w:fldCharType="begin"/>
            </w:r>
            <w:r w:rsidR="0071238A">
              <w:rPr>
                <w:rFonts w:hint="eastAsia"/>
                <w:sz w:val="24"/>
              </w:rPr>
              <w:instrText xml:space="preserve"> PAGEREF _Toc7948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84" w:history="1">
            <w:r w:rsidR="0071238A">
              <w:rPr>
                <w:rFonts w:hint="eastAsia"/>
                <w:sz w:val="24"/>
              </w:rPr>
              <w:t>二、收入决算表</w:t>
            </w:r>
            <w:r w:rsidR="0071238A">
              <w:rPr>
                <w:rFonts w:hint="eastAsia"/>
                <w:sz w:val="24"/>
              </w:rPr>
              <w:tab/>
            </w:r>
            <w:r>
              <w:rPr>
                <w:rFonts w:hint="eastAsia"/>
                <w:sz w:val="24"/>
              </w:rPr>
              <w:fldChar w:fldCharType="begin"/>
            </w:r>
            <w:r w:rsidR="0071238A">
              <w:rPr>
                <w:rFonts w:hint="eastAsia"/>
                <w:sz w:val="24"/>
              </w:rPr>
              <w:instrText xml:space="preserve"> PAGEREF _Toc284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0184" w:history="1">
            <w:r w:rsidR="0071238A">
              <w:rPr>
                <w:rFonts w:hint="eastAsia"/>
                <w:sz w:val="24"/>
              </w:rPr>
              <w:t>三、支出决算表</w:t>
            </w:r>
            <w:r w:rsidR="0071238A">
              <w:rPr>
                <w:rFonts w:hint="eastAsia"/>
                <w:sz w:val="24"/>
              </w:rPr>
              <w:tab/>
            </w:r>
            <w:r>
              <w:rPr>
                <w:rFonts w:hint="eastAsia"/>
                <w:sz w:val="24"/>
              </w:rPr>
              <w:fldChar w:fldCharType="begin"/>
            </w:r>
            <w:r w:rsidR="0071238A">
              <w:rPr>
                <w:rFonts w:hint="eastAsia"/>
                <w:sz w:val="24"/>
              </w:rPr>
              <w:instrText xml:space="preserve"> PAGEREF _Toc20184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5502" w:history="1">
            <w:r w:rsidR="0071238A">
              <w:rPr>
                <w:rFonts w:hint="eastAsia"/>
                <w:sz w:val="24"/>
              </w:rPr>
              <w:t>四、财政拨款收入支出决算总表</w:t>
            </w:r>
            <w:r w:rsidR="0071238A">
              <w:rPr>
                <w:rFonts w:hint="eastAsia"/>
                <w:sz w:val="24"/>
              </w:rPr>
              <w:tab/>
            </w:r>
            <w:r>
              <w:rPr>
                <w:rFonts w:hint="eastAsia"/>
                <w:sz w:val="24"/>
              </w:rPr>
              <w:fldChar w:fldCharType="begin"/>
            </w:r>
            <w:r w:rsidR="0071238A">
              <w:rPr>
                <w:rFonts w:hint="eastAsia"/>
                <w:sz w:val="24"/>
              </w:rPr>
              <w:instrText xml:space="preserve"> PAGEREF _Toc15502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5792" w:history="1">
            <w:r w:rsidR="0071238A">
              <w:rPr>
                <w:rFonts w:hint="eastAsia"/>
                <w:sz w:val="24"/>
              </w:rPr>
              <w:t>五、财政拨款支出决算明细表</w:t>
            </w:r>
            <w:r w:rsidR="0071238A">
              <w:rPr>
                <w:rFonts w:hint="eastAsia"/>
                <w:sz w:val="24"/>
              </w:rPr>
              <w:tab/>
            </w:r>
            <w:r>
              <w:rPr>
                <w:rFonts w:hint="eastAsia"/>
                <w:sz w:val="24"/>
              </w:rPr>
              <w:fldChar w:fldCharType="begin"/>
            </w:r>
            <w:r w:rsidR="0071238A">
              <w:rPr>
                <w:rFonts w:hint="eastAsia"/>
                <w:sz w:val="24"/>
              </w:rPr>
              <w:instrText xml:space="preserve"> PAGEREF _Toc5792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6363" w:history="1">
            <w:r w:rsidR="0071238A">
              <w:rPr>
                <w:rFonts w:hint="eastAsia"/>
                <w:sz w:val="24"/>
              </w:rPr>
              <w:t>六、一般公共预算财政拨款支出决算表</w:t>
            </w:r>
            <w:r w:rsidR="0091701B" w:rsidRPr="0091701B">
              <w:rPr>
                <w:rFonts w:hint="eastAsia"/>
                <w:sz w:val="24"/>
              </w:rPr>
              <w:tab/>
            </w:r>
            <w:r w:rsidRPr="0091701B">
              <w:rPr>
                <w:rFonts w:hint="eastAsia"/>
                <w:sz w:val="24"/>
              </w:rPr>
              <w:fldChar w:fldCharType="begin"/>
            </w:r>
            <w:r w:rsidR="0091701B" w:rsidRPr="0091701B">
              <w:rPr>
                <w:rFonts w:hint="eastAsia"/>
                <w:sz w:val="24"/>
              </w:rPr>
              <w:instrText xml:space="preserve"> PAGEREF _Toc5792 \h </w:instrText>
            </w:r>
            <w:r w:rsidRPr="0091701B">
              <w:rPr>
                <w:rFonts w:hint="eastAsia"/>
                <w:sz w:val="24"/>
              </w:rPr>
            </w:r>
            <w:r w:rsidRPr="0091701B">
              <w:rPr>
                <w:rFonts w:hint="eastAsia"/>
                <w:sz w:val="24"/>
              </w:rPr>
              <w:fldChar w:fldCharType="separate"/>
            </w:r>
            <w:r w:rsidR="00451965">
              <w:rPr>
                <w:noProof/>
                <w:sz w:val="24"/>
              </w:rPr>
              <w:t>18</w:t>
            </w:r>
            <w:r w:rsidRPr="0091701B">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6803" w:history="1">
            <w:r w:rsidR="0071238A">
              <w:rPr>
                <w:rFonts w:hint="eastAsia"/>
                <w:sz w:val="24"/>
              </w:rPr>
              <w:t>七、一般公共预算财政拨款基本支出决算表</w:t>
            </w:r>
            <w:r w:rsidR="0071238A">
              <w:rPr>
                <w:rFonts w:hint="eastAsia"/>
                <w:sz w:val="24"/>
              </w:rPr>
              <w:tab/>
            </w:r>
            <w:r>
              <w:rPr>
                <w:rFonts w:hint="eastAsia"/>
                <w:sz w:val="24"/>
              </w:rPr>
              <w:fldChar w:fldCharType="begin"/>
            </w:r>
            <w:r w:rsidR="0071238A">
              <w:rPr>
                <w:rFonts w:hint="eastAsia"/>
                <w:sz w:val="24"/>
              </w:rPr>
              <w:instrText xml:space="preserve"> PAGEREF _Toc16803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22583" w:history="1">
            <w:r w:rsidR="0071238A">
              <w:rPr>
                <w:rFonts w:hint="eastAsia"/>
                <w:sz w:val="24"/>
              </w:rPr>
              <w:t>八、政府性基金预算财政拨款收入支出决算表</w:t>
            </w:r>
            <w:r w:rsidR="0071238A">
              <w:rPr>
                <w:rFonts w:hint="eastAsia"/>
                <w:sz w:val="24"/>
              </w:rPr>
              <w:tab/>
            </w:r>
            <w:r>
              <w:rPr>
                <w:rFonts w:hint="eastAsia"/>
                <w:sz w:val="24"/>
              </w:rPr>
              <w:fldChar w:fldCharType="begin"/>
            </w:r>
            <w:r w:rsidR="0071238A">
              <w:rPr>
                <w:rFonts w:hint="eastAsia"/>
                <w:sz w:val="24"/>
              </w:rPr>
              <w:instrText xml:space="preserve"> PAGEREF _Toc22583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7350" w:history="1">
            <w:r w:rsidR="0071238A">
              <w:rPr>
                <w:rFonts w:hint="eastAsia"/>
                <w:sz w:val="24"/>
              </w:rPr>
              <w:t>九、国有资本经营预算财政拨款收入支出决算表</w:t>
            </w:r>
            <w:r w:rsidR="0071238A">
              <w:rPr>
                <w:rFonts w:hint="eastAsia"/>
                <w:sz w:val="24"/>
              </w:rPr>
              <w:tab/>
            </w:r>
            <w:r>
              <w:rPr>
                <w:rFonts w:hint="eastAsia"/>
                <w:sz w:val="24"/>
              </w:rPr>
              <w:fldChar w:fldCharType="begin"/>
            </w:r>
            <w:r w:rsidR="0071238A">
              <w:rPr>
                <w:rFonts w:hint="eastAsia"/>
                <w:sz w:val="24"/>
              </w:rPr>
              <w:instrText xml:space="preserve"> PAGEREF _Toc17350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20"/>
            <w:tabs>
              <w:tab w:val="clear" w:pos="8296"/>
              <w:tab w:val="right" w:leader="dot" w:pos="8306"/>
            </w:tabs>
            <w:spacing w:line="480" w:lineRule="auto"/>
            <w:rPr>
              <w:sz w:val="24"/>
            </w:rPr>
          </w:pPr>
          <w:hyperlink w:anchor="_Toc19045" w:history="1">
            <w:r w:rsidR="0071238A">
              <w:rPr>
                <w:rFonts w:hint="eastAsia"/>
                <w:sz w:val="24"/>
              </w:rPr>
              <w:t>十、部门决算量化评价表</w:t>
            </w:r>
            <w:r w:rsidR="0071238A">
              <w:rPr>
                <w:rFonts w:hint="eastAsia"/>
                <w:sz w:val="24"/>
              </w:rPr>
              <w:tab/>
            </w:r>
            <w:r>
              <w:rPr>
                <w:rFonts w:hint="eastAsia"/>
                <w:sz w:val="24"/>
              </w:rPr>
              <w:fldChar w:fldCharType="begin"/>
            </w:r>
            <w:r w:rsidR="0071238A">
              <w:rPr>
                <w:rFonts w:hint="eastAsia"/>
                <w:sz w:val="24"/>
              </w:rPr>
              <w:instrText xml:space="preserve"> PAGEREF _Toc19045 \h </w:instrText>
            </w:r>
            <w:r>
              <w:rPr>
                <w:rFonts w:hint="eastAsia"/>
                <w:sz w:val="24"/>
              </w:rPr>
            </w:r>
            <w:r>
              <w:rPr>
                <w:rFonts w:hint="eastAsia"/>
                <w:sz w:val="24"/>
              </w:rPr>
              <w:fldChar w:fldCharType="separate"/>
            </w:r>
            <w:r w:rsidR="00451965">
              <w:rPr>
                <w:noProof/>
                <w:sz w:val="24"/>
              </w:rPr>
              <w:t>18</w:t>
            </w:r>
            <w:r>
              <w:rPr>
                <w:rFonts w:hint="eastAsia"/>
                <w:sz w:val="24"/>
              </w:rPr>
              <w:fldChar w:fldCharType="end"/>
            </w:r>
          </w:hyperlink>
        </w:p>
        <w:p w:rsidR="009373D0" w:rsidRDefault="00012117">
          <w:pPr>
            <w:pStyle w:val="5"/>
            <w:outlineLvl w:val="9"/>
            <w:sectPr w:rsidR="009373D0">
              <w:footerReference w:type="default" r:id="rId15"/>
              <w:footerReference w:type="first" r:id="rId16"/>
              <w:pgSz w:w="11906" w:h="16838"/>
              <w:pgMar w:top="1440" w:right="1800" w:bottom="1440" w:left="1800" w:header="851" w:footer="992" w:gutter="0"/>
              <w:pgNumType w:start="1"/>
              <w:cols w:space="425"/>
              <w:titlePg/>
              <w:docGrid w:type="lines" w:linePitch="312"/>
            </w:sectPr>
          </w:pPr>
          <w:r>
            <w:fldChar w:fldCharType="end"/>
          </w:r>
        </w:p>
      </w:sdtContent>
    </w:sdt>
    <w:p w:rsidR="009373D0" w:rsidRDefault="0071238A">
      <w:pPr>
        <w:pStyle w:val="1"/>
        <w:jc w:val="center"/>
        <w:rPr>
          <w:rFonts w:ascii="仿宋" w:eastAsia="仿宋" w:hAnsi="仿宋"/>
          <w:sz w:val="32"/>
          <w:szCs w:val="32"/>
        </w:rPr>
      </w:pPr>
      <w:bookmarkStart w:id="13" w:name="_Toc30486"/>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1"/>
      <w:bookmarkEnd w:id="13"/>
    </w:p>
    <w:p w:rsidR="001D1050" w:rsidRPr="001D1050" w:rsidRDefault="001D1050" w:rsidP="001D1050">
      <w:pPr>
        <w:widowControl/>
        <w:spacing w:line="360" w:lineRule="auto"/>
        <w:ind w:firstLineChars="200" w:firstLine="643"/>
        <w:jc w:val="left"/>
        <w:outlineLvl w:val="1"/>
        <w:rPr>
          <w:b/>
          <w:sz w:val="32"/>
          <w:szCs w:val="32"/>
        </w:rPr>
      </w:pPr>
      <w:bookmarkStart w:id="14" w:name="_Toc15377197"/>
      <w:bookmarkStart w:id="15" w:name="_Toc15396600"/>
      <w:r>
        <w:rPr>
          <w:rFonts w:hint="eastAsia"/>
          <w:b/>
          <w:sz w:val="32"/>
          <w:szCs w:val="32"/>
        </w:rPr>
        <w:t>一</w:t>
      </w:r>
      <w:r>
        <w:rPr>
          <w:b/>
          <w:sz w:val="32"/>
          <w:szCs w:val="32"/>
        </w:rPr>
        <w:t>、</w:t>
      </w:r>
      <w:r>
        <w:rPr>
          <w:rFonts w:hint="eastAsia"/>
          <w:b/>
          <w:sz w:val="32"/>
          <w:szCs w:val="32"/>
        </w:rPr>
        <w:t>主要职责</w:t>
      </w:r>
    </w:p>
    <w:bookmarkEnd w:id="14"/>
    <w:bookmarkEnd w:id="15"/>
    <w:p w:rsidR="001525E3" w:rsidRDefault="001D1050" w:rsidP="001D1050">
      <w:pPr>
        <w:snapToGrid w:val="0"/>
        <w:spacing w:line="360" w:lineRule="auto"/>
        <w:ind w:firstLineChars="200" w:firstLine="640"/>
        <w:rPr>
          <w:rFonts w:ascii="仿宋" w:eastAsia="仿宋" w:hAnsi="仿宋"/>
          <w:color w:val="222222"/>
          <w:sz w:val="32"/>
          <w:szCs w:val="32"/>
          <w:shd w:val="clear" w:color="auto" w:fill="FFFFFF"/>
        </w:rPr>
      </w:pPr>
      <w:r w:rsidRPr="001D1050">
        <w:rPr>
          <w:rFonts w:ascii="仿宋" w:eastAsia="仿宋" w:hAnsi="仿宋" w:hint="eastAsia"/>
          <w:color w:val="222222"/>
          <w:sz w:val="32"/>
          <w:szCs w:val="32"/>
          <w:shd w:val="clear" w:color="auto" w:fill="FFFFFF"/>
        </w:rPr>
        <w:t>学校有艺术学一级学科，音乐、舞蹈、美术与书法、设计、学科教学（音乐）5个专业类别，共有29个本科专业；现有艺术学一级学科学术硕士学位授权点，5个专业硕士学位授权点，并于2013年获批四川省博士后创新实践基地。现有6个国家级一流本科专业建设点，6个省级一流本科专业建设点，3个省级应用型示范专业；有4门国家级一流课程，51门省级一流课程；艺术学、音乐、设计进入“双一流”建设贡嘎计划建设学科名单。</w:t>
      </w:r>
    </w:p>
    <w:p w:rsidR="001525E3" w:rsidRDefault="001D1050" w:rsidP="001D1050">
      <w:pPr>
        <w:snapToGrid w:val="0"/>
        <w:spacing w:line="360" w:lineRule="auto"/>
        <w:ind w:firstLineChars="200" w:firstLine="640"/>
        <w:rPr>
          <w:rFonts w:ascii="仿宋" w:eastAsia="仿宋" w:hAnsi="仿宋"/>
          <w:color w:val="222222"/>
          <w:sz w:val="32"/>
          <w:szCs w:val="32"/>
          <w:shd w:val="clear" w:color="auto" w:fill="FFFFFF"/>
        </w:rPr>
      </w:pPr>
      <w:r w:rsidRPr="001D1050">
        <w:rPr>
          <w:rFonts w:ascii="仿宋" w:eastAsia="仿宋" w:hAnsi="仿宋" w:hint="eastAsia"/>
          <w:color w:val="222222"/>
          <w:sz w:val="32"/>
          <w:szCs w:val="32"/>
          <w:shd w:val="clear" w:color="auto" w:fill="FFFFFF"/>
        </w:rPr>
        <w:t>学校坚持开放办学方针，积极拓展对外交流合作，重视国际学术和人文交流，积极传播中国文化，举办各级各类国际交流活动，参与国家和省委省政府的外事活动。学校与10多个国家的50余所海外高校建立了合作关系，选送学生赴海外研修学习、攻读学位或参加各类海外交流项目。</w:t>
      </w:r>
    </w:p>
    <w:p w:rsidR="001525E3" w:rsidRDefault="001D1050" w:rsidP="001D1050">
      <w:pPr>
        <w:snapToGrid w:val="0"/>
        <w:spacing w:line="360" w:lineRule="auto"/>
        <w:ind w:firstLineChars="200" w:firstLine="640"/>
        <w:rPr>
          <w:rFonts w:ascii="仿宋" w:eastAsia="仿宋" w:hAnsi="仿宋"/>
          <w:color w:val="222222"/>
          <w:sz w:val="32"/>
          <w:szCs w:val="32"/>
          <w:shd w:val="clear" w:color="auto" w:fill="FFFFFF"/>
        </w:rPr>
      </w:pPr>
      <w:r w:rsidRPr="001D1050">
        <w:rPr>
          <w:rFonts w:ascii="仿宋" w:eastAsia="仿宋" w:hAnsi="仿宋" w:hint="eastAsia"/>
          <w:color w:val="222222"/>
          <w:sz w:val="32"/>
          <w:szCs w:val="32"/>
          <w:shd w:val="clear" w:color="auto" w:fill="FFFFFF"/>
        </w:rPr>
        <w:t>学校积极服务中心大局，大力开展校地合作，深度参与脱贫攻坚，服务乡村全面振兴，助力地方经济、社会和文化教育发展，与多个城市、知名企业签署了战略合作协议。</w:t>
      </w:r>
    </w:p>
    <w:p w:rsidR="009373D0" w:rsidRDefault="001D1050" w:rsidP="001D1050">
      <w:pPr>
        <w:snapToGrid w:val="0"/>
        <w:spacing w:line="360" w:lineRule="auto"/>
        <w:ind w:firstLineChars="200" w:firstLine="640"/>
        <w:rPr>
          <w:rFonts w:ascii="仿宋" w:eastAsia="仿宋" w:hAnsi="仿宋"/>
          <w:color w:val="222222"/>
          <w:sz w:val="32"/>
          <w:szCs w:val="32"/>
          <w:shd w:val="clear" w:color="auto" w:fill="FFFFFF"/>
        </w:rPr>
      </w:pPr>
      <w:r w:rsidRPr="001D1050">
        <w:rPr>
          <w:rFonts w:ascii="仿宋" w:eastAsia="仿宋" w:hAnsi="仿宋" w:hint="eastAsia"/>
          <w:color w:val="222222"/>
          <w:sz w:val="32"/>
          <w:szCs w:val="32"/>
          <w:shd w:val="clear" w:color="auto" w:fill="FFFFFF"/>
        </w:rPr>
        <w:t>经过八十多年的办学发展和几代川音人的共同努力，学校为国家培养了一大批优秀专业艺术人才。立足新时代，学校将坚决贯彻落实党的教育方针，坚持为党育人、为国育才，</w:t>
      </w:r>
      <w:r w:rsidRPr="001D1050">
        <w:rPr>
          <w:rFonts w:ascii="仿宋" w:eastAsia="仿宋" w:hAnsi="仿宋" w:hint="eastAsia"/>
          <w:color w:val="222222"/>
          <w:sz w:val="32"/>
          <w:szCs w:val="32"/>
          <w:shd w:val="clear" w:color="auto" w:fill="FFFFFF"/>
        </w:rPr>
        <w:lastRenderedPageBreak/>
        <w:t>秉承“办好艺术教育、培养一流人才、促进文艺繁荣”办学理念，恪守“尚美创新”校训，坚持立足现在、弘扬传统、面向未来的办学思路，深化改革创新，推动一流学科建设，努力形成高水平艺术人才培养体系，努力建设“国内一流、国际知名”的高等专业艺术院校。</w:t>
      </w:r>
    </w:p>
    <w:p w:rsidR="004C0101" w:rsidRDefault="004C0101" w:rsidP="001D1050">
      <w:pPr>
        <w:widowControl/>
        <w:spacing w:line="360" w:lineRule="auto"/>
        <w:ind w:firstLineChars="200" w:firstLine="643"/>
        <w:jc w:val="left"/>
        <w:outlineLvl w:val="1"/>
        <w:rPr>
          <w:b/>
          <w:sz w:val="32"/>
          <w:szCs w:val="32"/>
        </w:rPr>
      </w:pPr>
      <w:bookmarkStart w:id="16" w:name="_Toc9199"/>
    </w:p>
    <w:p w:rsidR="009373D0" w:rsidRDefault="0071238A" w:rsidP="001D1050">
      <w:pPr>
        <w:widowControl/>
        <w:spacing w:line="360" w:lineRule="auto"/>
        <w:ind w:firstLineChars="200" w:firstLine="643"/>
        <w:jc w:val="left"/>
        <w:outlineLvl w:val="1"/>
        <w:rPr>
          <w:b/>
          <w:sz w:val="32"/>
          <w:szCs w:val="32"/>
        </w:rPr>
      </w:pPr>
      <w:r>
        <w:rPr>
          <w:rFonts w:hint="eastAsia"/>
          <w:b/>
          <w:sz w:val="32"/>
          <w:szCs w:val="32"/>
        </w:rPr>
        <w:t>二</w:t>
      </w:r>
      <w:r>
        <w:rPr>
          <w:b/>
          <w:sz w:val="32"/>
          <w:szCs w:val="32"/>
        </w:rPr>
        <w:t>、机构设置</w:t>
      </w:r>
      <w:bookmarkEnd w:id="16"/>
    </w:p>
    <w:p w:rsidR="001D1050" w:rsidRPr="001D1050" w:rsidRDefault="001D1050" w:rsidP="001D1050">
      <w:pPr>
        <w:snapToGrid w:val="0"/>
        <w:spacing w:line="360" w:lineRule="auto"/>
        <w:ind w:firstLineChars="200" w:firstLine="640"/>
        <w:rPr>
          <w:rFonts w:ascii="仿宋" w:eastAsia="仿宋" w:hAnsi="仿宋"/>
          <w:sz w:val="32"/>
          <w:szCs w:val="32"/>
        </w:rPr>
      </w:pPr>
      <w:r w:rsidRPr="001D1050">
        <w:rPr>
          <w:rFonts w:ascii="仿宋" w:eastAsia="仿宋" w:hAnsi="仿宋" w:hint="eastAsia"/>
          <w:sz w:val="32"/>
          <w:szCs w:val="32"/>
        </w:rPr>
        <w:t>四川音乐学院前身是创建于1939年的“四川省立戏剧音乐实验学校”，1959年更为现名，成为当时国内具有本科办学层次的六所专业音乐院校之一。学校有武侯、新都、临空经济区三个校区，总占地面积1500余亩,现设有2</w:t>
      </w:r>
      <w:r w:rsidR="007C08BA">
        <w:rPr>
          <w:rFonts w:ascii="仿宋" w:eastAsia="仿宋" w:hAnsi="仿宋" w:hint="eastAsia"/>
          <w:sz w:val="32"/>
          <w:szCs w:val="32"/>
        </w:rPr>
        <w:t>6</w:t>
      </w:r>
      <w:r w:rsidRPr="001D1050">
        <w:rPr>
          <w:rFonts w:ascii="仿宋" w:eastAsia="仿宋" w:hAnsi="仿宋" w:hint="eastAsia"/>
          <w:sz w:val="32"/>
          <w:szCs w:val="32"/>
        </w:rPr>
        <w:t>个党政部门、2</w:t>
      </w:r>
      <w:r w:rsidR="007C08BA">
        <w:rPr>
          <w:rFonts w:ascii="仿宋" w:eastAsia="仿宋" w:hAnsi="仿宋" w:hint="eastAsia"/>
          <w:sz w:val="32"/>
          <w:szCs w:val="32"/>
        </w:rPr>
        <w:t>1</w:t>
      </w:r>
      <w:r w:rsidRPr="001D1050">
        <w:rPr>
          <w:rFonts w:ascii="仿宋" w:eastAsia="仿宋" w:hAnsi="仿宋" w:hint="eastAsia"/>
          <w:sz w:val="32"/>
          <w:szCs w:val="32"/>
        </w:rPr>
        <w:t>个教学部门、</w:t>
      </w:r>
      <w:r w:rsidR="007C08BA">
        <w:rPr>
          <w:rFonts w:ascii="仿宋" w:eastAsia="仿宋" w:hAnsi="仿宋" w:hint="eastAsia"/>
          <w:sz w:val="32"/>
          <w:szCs w:val="32"/>
        </w:rPr>
        <w:t>7</w:t>
      </w:r>
      <w:r w:rsidRPr="001D1050">
        <w:rPr>
          <w:rFonts w:ascii="仿宋" w:eastAsia="仿宋" w:hAnsi="仿宋" w:hint="eastAsia"/>
          <w:sz w:val="32"/>
          <w:szCs w:val="32"/>
        </w:rPr>
        <w:t>个教辅部门、4个艺术团体和12个科研机构。办学层次涵盖研究生教育、本科教育、成人教育和中等艺术教育，在校生规模14000余人，是全国十一所独立设置的专业音乐学院之一。</w:t>
      </w:r>
    </w:p>
    <w:p w:rsidR="004C0101" w:rsidRPr="004C0101" w:rsidRDefault="004C0101" w:rsidP="004C0101">
      <w:pPr>
        <w:widowControl/>
        <w:ind w:firstLineChars="200" w:firstLine="600"/>
        <w:jc w:val="left"/>
        <w:rPr>
          <w:rFonts w:ascii="仿宋_GB2312" w:eastAsia="仿宋_GB2312"/>
          <w:color w:val="000000"/>
          <w:kern w:val="0"/>
          <w:sz w:val="30"/>
          <w:szCs w:val="30"/>
          <w:shd w:val="clear" w:color="auto" w:fill="FFFFFF"/>
        </w:rPr>
      </w:pPr>
      <w:r w:rsidRPr="004C0101">
        <w:rPr>
          <w:rFonts w:ascii="仿宋_GB2312" w:eastAsia="仿宋_GB2312" w:hint="eastAsia"/>
          <w:color w:val="000000"/>
          <w:kern w:val="0"/>
          <w:sz w:val="30"/>
          <w:szCs w:val="30"/>
          <w:shd w:val="clear" w:color="auto" w:fill="FFFFFF"/>
        </w:rPr>
        <w:t>现内设2</w:t>
      </w:r>
      <w:r w:rsidR="007C08BA">
        <w:rPr>
          <w:rFonts w:ascii="仿宋_GB2312" w:eastAsia="仿宋_GB2312" w:hint="eastAsia"/>
          <w:color w:val="000000"/>
          <w:kern w:val="0"/>
          <w:sz w:val="30"/>
          <w:szCs w:val="30"/>
          <w:shd w:val="clear" w:color="auto" w:fill="FFFFFF"/>
        </w:rPr>
        <w:t>6</w:t>
      </w:r>
      <w:r w:rsidRPr="004C0101">
        <w:rPr>
          <w:rFonts w:ascii="仿宋_GB2312" w:eastAsia="仿宋_GB2312" w:hint="eastAsia"/>
          <w:color w:val="000000"/>
          <w:kern w:val="0"/>
          <w:sz w:val="30"/>
          <w:szCs w:val="30"/>
          <w:shd w:val="clear" w:color="auto" w:fill="FFFFFF"/>
        </w:rPr>
        <w:t>个党政部门，分别为：党委行政办公室（目标考核督查办公室、校友工作办公室主任、院务中心）、党委组织部（党校、党建办、党委人才办）、党委宣传部、党委统战部、省纪委监委驻四川音乐学院纪检监察组（校纪委、巡察办）、党委教师工作部（人事处）、党委学生工作部（学生处、团委、武装部、心理健康发展中心、学生资助管理中心）、党委安全工作部（保卫处）、新都校区管委会、临空经济区校区管委会、审计处、</w:t>
      </w:r>
      <w:r w:rsidRPr="004C0101">
        <w:rPr>
          <w:rFonts w:ascii="仿宋_GB2312" w:eastAsia="仿宋_GB2312" w:hint="eastAsia"/>
          <w:color w:val="000000"/>
          <w:kern w:val="0"/>
          <w:sz w:val="30"/>
          <w:szCs w:val="30"/>
          <w:shd w:val="clear" w:color="auto" w:fill="FFFFFF"/>
        </w:rPr>
        <w:lastRenderedPageBreak/>
        <w:t>发展规划处（政策法规处）、国际合作交流处（港澳台事务办公室）、党委研究生工作部、研究生处（博士培养办公室）、教务处（教师教学发展中心、本科教学评估中心）、招生处、计划财务处、科研处、艺术处、总务处、基建处、国资设备处（资产经营管理办公室）、招投标采购中心、工会、离退休工作处。</w:t>
      </w:r>
    </w:p>
    <w:p w:rsidR="007C08BA" w:rsidRPr="007C08BA" w:rsidRDefault="004C0101" w:rsidP="007C08BA">
      <w:pPr>
        <w:widowControl/>
        <w:ind w:firstLineChars="200" w:firstLine="600"/>
        <w:jc w:val="left"/>
        <w:rPr>
          <w:rFonts w:ascii="仿宋_GB2312" w:eastAsia="仿宋_GB2312" w:hint="eastAsia"/>
          <w:color w:val="000000"/>
          <w:kern w:val="0"/>
          <w:sz w:val="30"/>
          <w:szCs w:val="30"/>
          <w:shd w:val="clear" w:color="auto" w:fill="FFFFFF"/>
        </w:rPr>
      </w:pPr>
      <w:r w:rsidRPr="004C0101">
        <w:rPr>
          <w:rFonts w:ascii="仿宋_GB2312" w:eastAsia="仿宋_GB2312" w:hint="eastAsia"/>
          <w:color w:val="000000"/>
          <w:kern w:val="0"/>
          <w:sz w:val="30"/>
          <w:szCs w:val="30"/>
          <w:shd w:val="clear" w:color="auto" w:fill="FFFFFF"/>
        </w:rPr>
        <w:t>2</w:t>
      </w:r>
      <w:r w:rsidR="007C08BA">
        <w:rPr>
          <w:rFonts w:ascii="仿宋_GB2312" w:eastAsia="仿宋_GB2312" w:hint="eastAsia"/>
          <w:color w:val="000000"/>
          <w:kern w:val="0"/>
          <w:sz w:val="30"/>
          <w:szCs w:val="30"/>
          <w:shd w:val="clear" w:color="auto" w:fill="FFFFFF"/>
        </w:rPr>
        <w:t>1</w:t>
      </w:r>
      <w:r w:rsidRPr="004C0101">
        <w:rPr>
          <w:rFonts w:ascii="仿宋_GB2312" w:eastAsia="仿宋_GB2312" w:hint="eastAsia"/>
          <w:color w:val="000000"/>
          <w:kern w:val="0"/>
          <w:sz w:val="30"/>
          <w:szCs w:val="30"/>
          <w:shd w:val="clear" w:color="auto" w:fill="FFFFFF"/>
        </w:rPr>
        <w:t>个教学单位，分别为：</w:t>
      </w:r>
      <w:r w:rsidR="007C08BA" w:rsidRPr="007C08BA">
        <w:rPr>
          <w:rFonts w:ascii="仿宋_GB2312" w:eastAsia="仿宋_GB2312" w:hint="eastAsia"/>
          <w:color w:val="000000"/>
          <w:kern w:val="0"/>
          <w:sz w:val="30"/>
          <w:szCs w:val="30"/>
          <w:shd w:val="clear" w:color="auto" w:fill="FFFFFF"/>
        </w:rPr>
        <w:t>马克思主义学院、基础部、钢琴系、作曲系、管弦系、声乐歌剧学院、民乐系、音乐教育学院、音乐学系、手风琴与现代器乐系、音乐工程系、美育学院（美育</w:t>
      </w:r>
    </w:p>
    <w:p w:rsidR="007C08BA" w:rsidRPr="007C08BA" w:rsidRDefault="007C08BA" w:rsidP="007C08BA">
      <w:pPr>
        <w:widowControl/>
        <w:jc w:val="left"/>
        <w:rPr>
          <w:rFonts w:ascii="仿宋_GB2312" w:eastAsia="仿宋_GB2312" w:hint="eastAsia"/>
          <w:color w:val="000000"/>
          <w:kern w:val="0"/>
          <w:sz w:val="30"/>
          <w:szCs w:val="30"/>
          <w:shd w:val="clear" w:color="auto" w:fill="FFFFFF"/>
        </w:rPr>
      </w:pPr>
      <w:r w:rsidRPr="007C08BA">
        <w:rPr>
          <w:rFonts w:ascii="仿宋_GB2312" w:eastAsia="仿宋_GB2312" w:hint="eastAsia"/>
          <w:color w:val="000000"/>
          <w:kern w:val="0"/>
          <w:sz w:val="30"/>
          <w:szCs w:val="30"/>
          <w:shd w:val="clear" w:color="auto" w:fill="FFFFFF"/>
        </w:rPr>
        <w:t>中心）、实验艺术学院、艺术学理论与管理学院、舞蹈学院、成都美术学院、流行音乐学院、戏剧学院、传媒学院、继续教育学院（社会艺术培训与考级中心、川音干部美育培训中心）、附属</w:t>
      </w:r>
    </w:p>
    <w:p w:rsidR="004C0101" w:rsidRPr="004C0101" w:rsidRDefault="007C08BA" w:rsidP="007C08BA">
      <w:pPr>
        <w:widowControl/>
        <w:jc w:val="left"/>
        <w:rPr>
          <w:rFonts w:ascii="仿宋_GB2312" w:eastAsia="仿宋_GB2312"/>
          <w:color w:val="000000"/>
          <w:kern w:val="0"/>
          <w:sz w:val="30"/>
          <w:szCs w:val="30"/>
          <w:shd w:val="clear" w:color="auto" w:fill="FFFFFF"/>
        </w:rPr>
      </w:pPr>
      <w:r w:rsidRPr="007C08BA">
        <w:rPr>
          <w:rFonts w:ascii="仿宋_GB2312" w:eastAsia="仿宋_GB2312" w:hint="eastAsia"/>
          <w:color w:val="000000"/>
          <w:kern w:val="0"/>
          <w:sz w:val="30"/>
          <w:szCs w:val="30"/>
          <w:shd w:val="clear" w:color="auto" w:fill="FFFFFF"/>
        </w:rPr>
        <w:t>中等艺术学校。</w:t>
      </w:r>
    </w:p>
    <w:p w:rsidR="004C0101" w:rsidRPr="004C0101" w:rsidRDefault="007C08BA" w:rsidP="004C0101">
      <w:pPr>
        <w:widowControl/>
        <w:ind w:firstLineChars="200" w:firstLine="600"/>
        <w:jc w:val="left"/>
        <w:rPr>
          <w:rFonts w:ascii="仿宋_GB2312" w:eastAsia="仿宋_GB2312"/>
          <w:color w:val="000000"/>
          <w:kern w:val="0"/>
          <w:sz w:val="30"/>
          <w:szCs w:val="30"/>
          <w:shd w:val="clear" w:color="auto" w:fill="FFFFFF"/>
        </w:rPr>
      </w:pPr>
      <w:r>
        <w:rPr>
          <w:rFonts w:ascii="仿宋_GB2312" w:eastAsia="仿宋_GB2312" w:hint="eastAsia"/>
          <w:color w:val="000000"/>
          <w:kern w:val="0"/>
          <w:sz w:val="30"/>
          <w:szCs w:val="30"/>
          <w:shd w:val="clear" w:color="auto" w:fill="FFFFFF"/>
        </w:rPr>
        <w:t>7</w:t>
      </w:r>
      <w:r w:rsidR="004C0101" w:rsidRPr="004C0101">
        <w:rPr>
          <w:rFonts w:ascii="仿宋_GB2312" w:eastAsia="仿宋_GB2312" w:hint="eastAsia"/>
          <w:color w:val="000000"/>
          <w:kern w:val="0"/>
          <w:sz w:val="30"/>
          <w:szCs w:val="30"/>
          <w:shd w:val="clear" w:color="auto" w:fill="FFFFFF"/>
        </w:rPr>
        <w:t>个教辅部门，分别为：教育信息技术中心、图书馆、美术馆、学报社、幼教中心、学术交流中心</w:t>
      </w:r>
      <w:r>
        <w:rPr>
          <w:rFonts w:ascii="仿宋_GB2312" w:eastAsia="仿宋_GB2312" w:hint="eastAsia"/>
          <w:color w:val="000000"/>
          <w:kern w:val="0"/>
          <w:sz w:val="30"/>
          <w:szCs w:val="30"/>
          <w:shd w:val="clear" w:color="auto" w:fill="FFFFFF"/>
        </w:rPr>
        <w:t>、成都城市音乐厅运营管理中心</w:t>
      </w:r>
      <w:r w:rsidR="004C0101" w:rsidRPr="004C0101">
        <w:rPr>
          <w:rFonts w:ascii="仿宋_GB2312" w:eastAsia="仿宋_GB2312" w:hint="eastAsia"/>
          <w:color w:val="000000"/>
          <w:kern w:val="0"/>
          <w:sz w:val="30"/>
          <w:szCs w:val="30"/>
          <w:shd w:val="clear" w:color="auto" w:fill="FFFFFF"/>
        </w:rPr>
        <w:t>。</w:t>
      </w:r>
    </w:p>
    <w:p w:rsidR="004C0101" w:rsidRPr="004C0101" w:rsidRDefault="004C0101" w:rsidP="004C0101">
      <w:pPr>
        <w:widowControl/>
        <w:ind w:firstLineChars="200" w:firstLine="600"/>
        <w:jc w:val="left"/>
        <w:rPr>
          <w:rFonts w:ascii="仿宋_GB2312" w:eastAsia="仿宋_GB2312"/>
          <w:color w:val="000000"/>
          <w:kern w:val="0"/>
          <w:sz w:val="30"/>
          <w:szCs w:val="30"/>
          <w:shd w:val="clear" w:color="auto" w:fill="FFFFFF"/>
        </w:rPr>
      </w:pPr>
      <w:r w:rsidRPr="004C0101">
        <w:rPr>
          <w:rFonts w:ascii="仿宋_GB2312" w:eastAsia="仿宋_GB2312" w:hint="eastAsia"/>
          <w:color w:val="000000"/>
          <w:kern w:val="0"/>
          <w:sz w:val="30"/>
          <w:szCs w:val="30"/>
          <w:shd w:val="clear" w:color="auto" w:fill="FFFFFF"/>
        </w:rPr>
        <w:t>4个艺术团体，分别为：交响乐团、女子合唱团、民乐团、舞蹈团。</w:t>
      </w:r>
    </w:p>
    <w:p w:rsidR="004C0101" w:rsidRDefault="004C0101" w:rsidP="004C0101">
      <w:pPr>
        <w:widowControl/>
        <w:ind w:firstLineChars="200" w:firstLine="600"/>
        <w:jc w:val="left"/>
        <w:rPr>
          <w:rFonts w:ascii="仿宋_GB2312" w:eastAsia="仿宋_GB2312"/>
          <w:color w:val="000000"/>
          <w:kern w:val="0"/>
          <w:sz w:val="30"/>
          <w:szCs w:val="30"/>
          <w:shd w:val="clear" w:color="auto" w:fill="FFFFFF"/>
        </w:rPr>
      </w:pPr>
      <w:r w:rsidRPr="004C0101">
        <w:rPr>
          <w:rFonts w:ascii="仿宋_GB2312" w:eastAsia="仿宋_GB2312" w:hint="eastAsia"/>
          <w:color w:val="000000"/>
          <w:kern w:val="0"/>
          <w:sz w:val="30"/>
          <w:szCs w:val="30"/>
          <w:shd w:val="clear" w:color="auto" w:fill="FFFFFF"/>
        </w:rPr>
        <w:t>12个科研机构，分别为：四川音乐学院中华传统音乐研究院、西南音乐研究中心、四川音乐学院城市与环境艺术研究院、音乐数智重点实验室、数字媒体艺术四川省重点实验室、四川省音乐艺术普及基地、四川音乐学院美术研究院、四川音乐学院非物质文化遗产研究院、四川音乐学院红色文化艺术研究中心、四</w:t>
      </w:r>
      <w:r w:rsidRPr="004C0101">
        <w:rPr>
          <w:rFonts w:ascii="仿宋_GB2312" w:eastAsia="仿宋_GB2312" w:hint="eastAsia"/>
          <w:color w:val="000000"/>
          <w:kern w:val="0"/>
          <w:sz w:val="30"/>
          <w:szCs w:val="30"/>
          <w:shd w:val="clear" w:color="auto" w:fill="FFFFFF"/>
        </w:rPr>
        <w:lastRenderedPageBreak/>
        <w:t>川音乐学院王光祈学术研究中（高等教育研究所）、四川音乐学院中国民族歌剧创研中心、四川音乐学院社会科学联合会。</w:t>
      </w:r>
    </w:p>
    <w:p w:rsidR="009373D0" w:rsidRDefault="0071238A" w:rsidP="004C0101">
      <w:pPr>
        <w:widowControl/>
        <w:jc w:val="left"/>
        <w:rPr>
          <w:rFonts w:ascii="仿宋" w:eastAsia="仿宋" w:hAnsi="仿宋"/>
          <w:kern w:val="0"/>
          <w:sz w:val="32"/>
          <w:szCs w:val="32"/>
        </w:rPr>
      </w:pPr>
      <w:r>
        <w:rPr>
          <w:rFonts w:ascii="仿宋" w:eastAsia="仿宋" w:hAnsi="仿宋"/>
          <w:sz w:val="32"/>
          <w:szCs w:val="32"/>
        </w:rPr>
        <w:br w:type="page"/>
      </w:r>
    </w:p>
    <w:p w:rsidR="009373D0" w:rsidRPr="00DB404E" w:rsidRDefault="0071238A" w:rsidP="00DB404E">
      <w:pPr>
        <w:pStyle w:val="1"/>
        <w:ind w:right="440"/>
        <w:jc w:val="center"/>
        <w:rPr>
          <w:rFonts w:ascii="黑体" w:eastAsia="黑体" w:hAnsi="黑体"/>
          <w:b w:val="0"/>
        </w:rPr>
      </w:pPr>
      <w:bookmarkStart w:id="17" w:name="_Toc15396602"/>
      <w:bookmarkStart w:id="18" w:name="_Toc15377204"/>
      <w:bookmarkStart w:id="19" w:name="_Toc19520"/>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17"/>
      <w:bookmarkEnd w:id="18"/>
      <w:bookmarkEnd w:id="19"/>
    </w:p>
    <w:p w:rsidR="009373D0" w:rsidRDefault="0071238A">
      <w:pPr>
        <w:pStyle w:val="ab"/>
        <w:numPr>
          <w:ilvl w:val="0"/>
          <w:numId w:val="2"/>
        </w:numPr>
        <w:spacing w:line="360" w:lineRule="auto"/>
        <w:ind w:firstLineChars="0"/>
        <w:outlineLvl w:val="1"/>
        <w:rPr>
          <w:rStyle w:val="2Char"/>
          <w:rFonts w:ascii="黑体" w:eastAsia="黑体" w:hAnsi="黑体"/>
          <w:b w:val="0"/>
        </w:rPr>
      </w:pPr>
      <w:bookmarkStart w:id="20" w:name="_Toc15396603"/>
      <w:bookmarkStart w:id="21" w:name="_Toc26237"/>
      <w:bookmarkStart w:id="22"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0"/>
      <w:bookmarkEnd w:id="21"/>
      <w:bookmarkEnd w:id="22"/>
    </w:p>
    <w:p w:rsidR="009373D0" w:rsidRPr="00BB7EE6" w:rsidRDefault="0071238A" w:rsidP="00BB7EE6">
      <w:pPr>
        <w:spacing w:line="360" w:lineRule="auto"/>
        <w:ind w:firstLineChars="200" w:firstLine="640"/>
        <w:rPr>
          <w:rFonts w:ascii="仿宋" w:eastAsia="仿宋" w:hAnsi="仿宋"/>
          <w:color w:val="000000" w:themeColor="text1"/>
          <w:sz w:val="32"/>
          <w:szCs w:val="32"/>
        </w:rPr>
      </w:pPr>
      <w:r>
        <w:rPr>
          <w:rFonts w:ascii="仿宋" w:eastAsia="仿宋" w:hAnsi="仿宋" w:hint="eastAsia"/>
          <w:sz w:val="32"/>
          <w:szCs w:val="32"/>
        </w:rPr>
        <w:t>2023年度收入总计</w:t>
      </w:r>
      <w:r>
        <w:rPr>
          <w:rFonts w:asciiTheme="minorEastAsia" w:eastAsiaTheme="minorEastAsia" w:hAnsiTheme="minorEastAsia" w:hint="eastAsia"/>
          <w:sz w:val="28"/>
          <w:szCs w:val="28"/>
          <w:shd w:val="clear" w:color="auto" w:fill="FFFFFF"/>
        </w:rPr>
        <w:t>64,569.17</w:t>
      </w:r>
      <w:r>
        <w:rPr>
          <w:rFonts w:ascii="仿宋" w:eastAsia="仿宋" w:hAnsi="仿宋" w:hint="eastAsia"/>
          <w:sz w:val="32"/>
          <w:szCs w:val="32"/>
        </w:rPr>
        <w:t>万元，支出总计</w:t>
      </w:r>
      <w:r>
        <w:rPr>
          <w:rFonts w:asciiTheme="minorEastAsia" w:eastAsiaTheme="minorEastAsia" w:hAnsiTheme="minorEastAsia" w:cs="宋体" w:hint="eastAsia"/>
          <w:kern w:val="0"/>
          <w:sz w:val="28"/>
          <w:szCs w:val="28"/>
        </w:rPr>
        <w:t>73,299.23</w:t>
      </w:r>
      <w:r>
        <w:rPr>
          <w:rFonts w:ascii="仿宋" w:eastAsia="仿宋" w:hAnsi="仿宋" w:hint="eastAsia"/>
          <w:sz w:val="32"/>
          <w:szCs w:val="32"/>
        </w:rPr>
        <w:t>万元。与2022年相比，收、支总计各增加6,074.83万元（增长率10.39</w:t>
      </w:r>
      <w:r>
        <w:rPr>
          <w:rFonts w:ascii="仿宋" w:eastAsia="仿宋" w:hAnsi="仿宋" w:hint="eastAsia"/>
          <w:sz w:val="32"/>
          <w:szCs w:val="32"/>
        </w:rPr>
        <w:tab/>
        <w:t>%）、10,746.18万元（增长率17.18%）。收入增加的主要原因是专项拨款2,262.39 万元，上年结转政府采购及科研项目资金976.82万元，艺术大楼基本建设1,152.77万元；支出增加的主要原因</w:t>
      </w:r>
      <w:r w:rsidR="008D533F">
        <w:rPr>
          <w:rFonts w:ascii="仿宋" w:eastAsia="仿宋" w:hAnsi="仿宋" w:hint="eastAsia"/>
          <w:sz w:val="32"/>
          <w:szCs w:val="32"/>
        </w:rPr>
        <w:t>为</w:t>
      </w:r>
      <w:r>
        <w:rPr>
          <w:rFonts w:ascii="仿宋" w:eastAsia="仿宋" w:hAnsi="仿宋" w:hint="eastAsia"/>
          <w:sz w:val="32"/>
          <w:szCs w:val="32"/>
        </w:rPr>
        <w:t>2023年度</w:t>
      </w:r>
      <w:r w:rsidR="008D533F">
        <w:rPr>
          <w:rFonts w:ascii="仿宋" w:eastAsia="仿宋" w:hAnsi="仿宋" w:hint="eastAsia"/>
          <w:sz w:val="32"/>
          <w:szCs w:val="32"/>
        </w:rPr>
        <w:t>临空校区全面投入使用</w:t>
      </w:r>
      <w:r>
        <w:rPr>
          <w:rFonts w:ascii="仿宋" w:eastAsia="仿宋" w:hAnsi="仿宋" w:hint="eastAsia"/>
          <w:sz w:val="32"/>
          <w:szCs w:val="32"/>
        </w:rPr>
        <w:t>，</w:t>
      </w:r>
      <w:r w:rsidR="008D533F">
        <w:rPr>
          <w:rFonts w:ascii="仿宋" w:eastAsia="仿宋" w:hAnsi="仿宋" w:hint="eastAsia"/>
          <w:sz w:val="32"/>
          <w:szCs w:val="32"/>
        </w:rPr>
        <w:t>运行费用增加</w:t>
      </w:r>
      <w:r w:rsidR="00BB7EE6">
        <w:rPr>
          <w:rFonts w:ascii="仿宋" w:eastAsia="仿宋" w:hAnsi="仿宋" w:hint="eastAsia"/>
          <w:sz w:val="32"/>
          <w:szCs w:val="32"/>
        </w:rPr>
        <w:t>，同时新增部分租赁费等公用支出。</w:t>
      </w:r>
      <w:bookmarkStart w:id="23" w:name="_GoBack"/>
      <w:bookmarkEnd w:id="23"/>
    </w:p>
    <w:p w:rsidR="009373D0" w:rsidRDefault="0071238A">
      <w:pPr>
        <w:pStyle w:val="a3"/>
        <w:spacing w:before="93"/>
      </w:pPr>
      <w:r>
        <w:rPr>
          <w:noProof/>
        </w:rPr>
        <w:drawing>
          <wp:inline distT="0" distB="0" distL="0" distR="0">
            <wp:extent cx="5153025" cy="2942590"/>
            <wp:effectExtent l="4445" t="4445" r="5080"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73D0" w:rsidRDefault="0071238A">
      <w:pPr>
        <w:pStyle w:val="a3"/>
        <w:spacing w:before="93"/>
      </w:pPr>
      <w:r>
        <w:br w:type="page"/>
      </w:r>
    </w:p>
    <w:p w:rsidR="009373D0" w:rsidRDefault="0071238A">
      <w:pPr>
        <w:pStyle w:val="ab"/>
        <w:numPr>
          <w:ilvl w:val="0"/>
          <w:numId w:val="2"/>
        </w:numPr>
        <w:spacing w:line="360" w:lineRule="auto"/>
        <w:ind w:firstLineChars="0"/>
        <w:outlineLvl w:val="1"/>
        <w:rPr>
          <w:rStyle w:val="2Char"/>
          <w:rFonts w:ascii="黑体" w:eastAsia="黑体" w:hAnsi="黑体"/>
          <w:b w:val="0"/>
        </w:rPr>
      </w:pPr>
      <w:bookmarkStart w:id="24" w:name="_Toc15396604"/>
      <w:bookmarkStart w:id="25" w:name="_Toc30441"/>
      <w:bookmarkStart w:id="26" w:name="_Toc15377206"/>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24"/>
      <w:bookmarkEnd w:id="25"/>
      <w:bookmarkEnd w:id="26"/>
    </w:p>
    <w:p w:rsidR="009373D0" w:rsidRDefault="0071238A">
      <w:pPr>
        <w:spacing w:line="360" w:lineRule="auto"/>
        <w:ind w:firstLine="640"/>
        <w:rPr>
          <w:rFonts w:ascii="仿宋" w:eastAsia="仿宋" w:hAnsi="仿宋"/>
          <w:b/>
          <w:bCs/>
          <w:color w:val="FF0000"/>
          <w:sz w:val="32"/>
          <w:szCs w:val="32"/>
        </w:rPr>
      </w:pPr>
      <w:r>
        <w:rPr>
          <w:rFonts w:ascii="仿宋" w:eastAsia="仿宋" w:hAnsi="仿宋"/>
          <w:sz w:val="32"/>
          <w:szCs w:val="32"/>
        </w:rPr>
        <w:t>20</w:t>
      </w:r>
      <w:r>
        <w:rPr>
          <w:rFonts w:ascii="仿宋" w:eastAsia="仿宋" w:hAnsi="仿宋" w:hint="eastAsia"/>
          <w:sz w:val="32"/>
          <w:szCs w:val="32"/>
        </w:rPr>
        <w:t>23年本年收入合计</w:t>
      </w:r>
      <w:r>
        <w:rPr>
          <w:rFonts w:asciiTheme="minorEastAsia" w:eastAsiaTheme="minorEastAsia" w:hAnsiTheme="minorEastAsia" w:hint="eastAsia"/>
          <w:sz w:val="28"/>
          <w:szCs w:val="28"/>
          <w:shd w:val="clear" w:color="auto" w:fill="FFFFFF"/>
        </w:rPr>
        <w:t>64,569.17</w:t>
      </w:r>
      <w:r>
        <w:rPr>
          <w:rFonts w:ascii="仿宋" w:eastAsia="仿宋" w:hAnsi="仿宋" w:hint="eastAsia"/>
          <w:sz w:val="32"/>
          <w:szCs w:val="32"/>
        </w:rPr>
        <w:t>万元，其中：一般公共预算财政拨款收入45,983.90万元（占比71.22%）；事业收入17,207.67（占比26.65%）万元，其他收入1,377.60万元（占比2.13%）。</w:t>
      </w:r>
    </w:p>
    <w:p w:rsidR="009373D0" w:rsidRDefault="009373D0">
      <w:pPr>
        <w:spacing w:line="600" w:lineRule="exact"/>
        <w:ind w:firstLineChars="200" w:firstLine="640"/>
        <w:rPr>
          <w:rFonts w:ascii="仿宋" w:eastAsia="仿宋" w:hAnsi="仿宋"/>
          <w:sz w:val="32"/>
          <w:szCs w:val="32"/>
        </w:rPr>
      </w:pPr>
    </w:p>
    <w:p w:rsidR="009373D0" w:rsidRDefault="0071238A">
      <w:pPr>
        <w:pStyle w:val="a3"/>
        <w:spacing w:before="93"/>
      </w:pPr>
      <w:r>
        <w:rPr>
          <w:noProof/>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73D0" w:rsidRDefault="0071238A">
      <w:pPr>
        <w:widowControl/>
        <w:jc w:val="left"/>
        <w:rPr>
          <w:rFonts w:ascii="仿宋_GB2312" w:eastAsia="仿宋_GB2312"/>
          <w:kern w:val="0"/>
          <w:sz w:val="30"/>
        </w:rPr>
      </w:pPr>
      <w:r>
        <w:br w:type="page"/>
      </w:r>
    </w:p>
    <w:p w:rsidR="009373D0" w:rsidRDefault="0071238A">
      <w:pPr>
        <w:pStyle w:val="ab"/>
        <w:numPr>
          <w:ilvl w:val="0"/>
          <w:numId w:val="2"/>
        </w:numPr>
        <w:spacing w:line="360" w:lineRule="auto"/>
        <w:ind w:firstLineChars="0"/>
        <w:outlineLvl w:val="1"/>
        <w:rPr>
          <w:rStyle w:val="2Char"/>
          <w:rFonts w:ascii="黑体" w:eastAsia="黑体" w:hAnsi="黑体"/>
          <w:b w:val="0"/>
        </w:rPr>
      </w:pPr>
      <w:bookmarkStart w:id="27" w:name="_Toc7720"/>
      <w:bookmarkStart w:id="28" w:name="_Toc15396605"/>
      <w:bookmarkStart w:id="29" w:name="_Toc15377207"/>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27"/>
      <w:bookmarkEnd w:id="28"/>
      <w:bookmarkEnd w:id="29"/>
    </w:p>
    <w:p w:rsidR="009373D0" w:rsidRDefault="0071238A">
      <w:pPr>
        <w:spacing w:line="360" w:lineRule="auto"/>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23年本年支出合计73,299.23万元，其中：基本支出53,227.98万元（占比72.62%）；项目支出20,071.25万元（占比27.38%）。</w:t>
      </w:r>
    </w:p>
    <w:p w:rsidR="009373D0" w:rsidRDefault="009373D0">
      <w:pPr>
        <w:pStyle w:val="a3"/>
        <w:spacing w:before="93"/>
      </w:pPr>
    </w:p>
    <w:p w:rsidR="009373D0" w:rsidRDefault="0071238A">
      <w:pPr>
        <w:pStyle w:val="a3"/>
        <w:spacing w:before="93"/>
      </w:pPr>
      <w:r>
        <w:rPr>
          <w:noProof/>
        </w:rPr>
        <w:drawing>
          <wp:inline distT="0" distB="0" distL="0" distR="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73D0" w:rsidRDefault="0071238A">
      <w:pPr>
        <w:widowControl/>
        <w:jc w:val="left"/>
        <w:rPr>
          <w:rFonts w:ascii="仿宋_GB2312" w:eastAsia="仿宋_GB2312"/>
          <w:kern w:val="0"/>
          <w:sz w:val="30"/>
        </w:rPr>
      </w:pPr>
      <w:bookmarkStart w:id="30" w:name="_Toc15377208"/>
      <w:bookmarkStart w:id="31" w:name="_Toc15396606"/>
      <w:r>
        <w:br w:type="page"/>
      </w:r>
    </w:p>
    <w:p w:rsidR="009373D0" w:rsidRDefault="0071238A">
      <w:pPr>
        <w:spacing w:line="360" w:lineRule="auto"/>
        <w:ind w:firstLineChars="200" w:firstLine="640"/>
        <w:outlineLvl w:val="1"/>
        <w:rPr>
          <w:rStyle w:val="2Char"/>
          <w:rFonts w:ascii="黑体" w:eastAsia="黑体" w:hAnsi="黑体"/>
          <w:b w:val="0"/>
        </w:rPr>
      </w:pPr>
      <w:bookmarkStart w:id="32" w:name="_Toc32023"/>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0"/>
      <w:bookmarkEnd w:id="31"/>
      <w:bookmarkEnd w:id="32"/>
    </w:p>
    <w:p w:rsidR="009373D0" w:rsidRDefault="0071238A">
      <w:pPr>
        <w:spacing w:line="360" w:lineRule="auto"/>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23年财政拨款收入总计45,983.90万元、支出总计45,983.90万元。与</w:t>
      </w:r>
      <w:r>
        <w:rPr>
          <w:rFonts w:ascii="仿宋" w:eastAsia="仿宋" w:hAnsi="仿宋"/>
          <w:sz w:val="32"/>
          <w:szCs w:val="32"/>
        </w:rPr>
        <w:t>20</w:t>
      </w:r>
      <w:r>
        <w:rPr>
          <w:rFonts w:ascii="仿宋" w:eastAsia="仿宋" w:hAnsi="仿宋" w:hint="eastAsia"/>
          <w:sz w:val="32"/>
          <w:szCs w:val="32"/>
        </w:rPr>
        <w:t>22年相比，财政拨款收、支总计增加5,856.11万元，增长12.74%，财政拨款收入增加的主要原因是专项拨款2,262.39 万元，上年结转政府采购及科研项目资金976.82万元，艺术大楼基本建设1,152.77万元。</w:t>
      </w:r>
    </w:p>
    <w:p w:rsidR="009373D0" w:rsidRDefault="009373D0">
      <w:pPr>
        <w:pStyle w:val="a3"/>
        <w:spacing w:before="93"/>
      </w:pPr>
    </w:p>
    <w:p w:rsidR="009373D0" w:rsidRDefault="0071238A">
      <w:pPr>
        <w:pStyle w:val="a3"/>
        <w:spacing w:before="93"/>
      </w:pPr>
      <w:r>
        <w:rPr>
          <w:rFonts w:hint="eastAsia"/>
          <w:noProof/>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73D0" w:rsidRDefault="0071238A">
      <w:pPr>
        <w:widowControl/>
        <w:jc w:val="left"/>
        <w:rPr>
          <w:rFonts w:ascii="仿宋_GB2312" w:eastAsia="仿宋_GB2312"/>
          <w:kern w:val="0"/>
          <w:sz w:val="30"/>
        </w:rPr>
      </w:pPr>
      <w:r>
        <w:br w:type="page"/>
      </w:r>
    </w:p>
    <w:p w:rsidR="009373D0" w:rsidRDefault="0071238A">
      <w:pPr>
        <w:spacing w:line="360" w:lineRule="auto"/>
        <w:ind w:firstLineChars="200" w:firstLine="640"/>
        <w:outlineLvl w:val="1"/>
        <w:rPr>
          <w:rStyle w:val="2Char"/>
          <w:rFonts w:ascii="黑体" w:eastAsia="黑体" w:hAnsi="黑体"/>
          <w:b w:val="0"/>
        </w:rPr>
      </w:pPr>
      <w:bookmarkStart w:id="33" w:name="_Toc1978"/>
      <w:bookmarkStart w:id="34" w:name="_Toc15396607"/>
      <w:bookmarkStart w:id="35"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bookmarkEnd w:id="35"/>
    </w:p>
    <w:p w:rsidR="009373D0" w:rsidRDefault="0071238A">
      <w:pPr>
        <w:spacing w:line="360" w:lineRule="auto"/>
        <w:ind w:firstLineChars="200" w:firstLine="643"/>
        <w:outlineLvl w:val="2"/>
        <w:rPr>
          <w:rFonts w:ascii="仿宋" w:eastAsia="仿宋" w:hAnsi="仿宋"/>
          <w:b/>
          <w:sz w:val="32"/>
          <w:szCs w:val="32"/>
        </w:rPr>
      </w:pPr>
      <w:bookmarkStart w:id="36" w:name="_Toc15377210"/>
      <w:bookmarkStart w:id="37" w:name="_Toc16687"/>
      <w:r>
        <w:rPr>
          <w:rFonts w:ascii="仿宋" w:eastAsia="仿宋" w:hAnsi="仿宋" w:hint="eastAsia"/>
          <w:b/>
          <w:sz w:val="32"/>
          <w:szCs w:val="32"/>
        </w:rPr>
        <w:t>（一）一般公共预算财政拨款支出决算总体情况</w:t>
      </w:r>
      <w:bookmarkEnd w:id="36"/>
      <w:bookmarkEnd w:id="37"/>
    </w:p>
    <w:p w:rsidR="009373D0" w:rsidRDefault="0071238A">
      <w:pPr>
        <w:spacing w:line="360" w:lineRule="auto"/>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23年一般公共预算财政拨款支出45,983.90万元。与</w:t>
      </w:r>
      <w:r>
        <w:rPr>
          <w:rFonts w:ascii="仿宋" w:eastAsia="仿宋" w:hAnsi="仿宋"/>
          <w:sz w:val="32"/>
          <w:szCs w:val="32"/>
        </w:rPr>
        <w:t>20</w:t>
      </w:r>
      <w:r>
        <w:rPr>
          <w:rFonts w:ascii="仿宋" w:eastAsia="仿宋" w:hAnsi="仿宋" w:hint="eastAsia"/>
          <w:sz w:val="32"/>
          <w:szCs w:val="32"/>
        </w:rPr>
        <w:t>22年相比，增加5,856.11万元，增长12.74%，财政拨款支出增加的主要原因是新增专项拨款2,262.39 万元，上年结转政府采购及科研项目资金976.82万元，艺术大楼基本建设1,152.77万元。由于本年度所有财政拨款已全部实现支出，所以也导致财政拨款支出同比增加。</w:t>
      </w:r>
    </w:p>
    <w:p w:rsidR="009373D0" w:rsidRDefault="0071238A">
      <w:pPr>
        <w:pStyle w:val="5"/>
        <w:outlineLvl w:val="9"/>
      </w:pPr>
      <w:r>
        <w:rPr>
          <w:rFonts w:hint="eastAsia"/>
          <w:noProof/>
        </w:rPr>
        <w:drawing>
          <wp:inline distT="0" distB="0" distL="0" distR="0">
            <wp:extent cx="5274310" cy="3076575"/>
            <wp:effectExtent l="19050" t="0" r="21590" b="0"/>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73D0" w:rsidRDefault="0071238A">
      <w:pPr>
        <w:rPr>
          <w:rFonts w:ascii="Arial" w:eastAsia="黑体" w:hAnsi="Arial"/>
          <w:sz w:val="24"/>
          <w:szCs w:val="28"/>
        </w:rPr>
      </w:pPr>
      <w:r>
        <w:br w:type="page"/>
      </w:r>
    </w:p>
    <w:p w:rsidR="009373D0" w:rsidRDefault="0071238A">
      <w:pPr>
        <w:spacing w:line="360" w:lineRule="auto"/>
        <w:ind w:firstLineChars="200" w:firstLine="643"/>
        <w:outlineLvl w:val="2"/>
        <w:rPr>
          <w:rFonts w:ascii="仿宋" w:eastAsia="仿宋" w:hAnsi="仿宋"/>
          <w:b/>
          <w:sz w:val="32"/>
          <w:szCs w:val="32"/>
        </w:rPr>
      </w:pPr>
      <w:bookmarkStart w:id="38" w:name="_Toc15377211"/>
      <w:bookmarkStart w:id="39" w:name="_Toc22946"/>
      <w:r>
        <w:rPr>
          <w:rFonts w:ascii="仿宋" w:eastAsia="仿宋" w:hAnsi="仿宋" w:hint="eastAsia"/>
          <w:b/>
          <w:sz w:val="32"/>
          <w:szCs w:val="32"/>
        </w:rPr>
        <w:lastRenderedPageBreak/>
        <w:t>（二）一般公共预算财政拨款支出决算结构情况</w:t>
      </w:r>
      <w:bookmarkEnd w:id="38"/>
      <w:bookmarkEnd w:id="39"/>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2023年一般公共预算财政拨款支出45,983.90万元，主要用于以下方面:教育支出（类）45,861.38万元，占99.73%；科学技术（类）支出12.95万元，占0.02%；文化旅游体育与传媒支出（类）82.03万元，占0.18%；社会保障和就业（类）支出24.54万元，占0.05%;卫生健康支出(类）支出3万元。</w:t>
      </w:r>
    </w:p>
    <w:p w:rsidR="009373D0" w:rsidRDefault="009373D0">
      <w:pPr>
        <w:pStyle w:val="a3"/>
        <w:spacing w:before="93"/>
      </w:pPr>
    </w:p>
    <w:p w:rsidR="009373D0" w:rsidRDefault="0071238A">
      <w:pPr>
        <w:pStyle w:val="a3"/>
        <w:spacing w:before="93"/>
        <w:rPr>
          <w:rFonts w:ascii="仿宋" w:eastAsia="仿宋" w:hAnsi="仿宋"/>
          <w:b/>
          <w:sz w:val="32"/>
          <w:szCs w:val="32"/>
        </w:rPr>
      </w:pPr>
      <w:r>
        <w:rPr>
          <w:noProof/>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40" w:name="_Toc15377212"/>
    </w:p>
    <w:p w:rsidR="009373D0" w:rsidRDefault="0071238A">
      <w:pPr>
        <w:spacing w:line="360" w:lineRule="auto"/>
        <w:ind w:firstLineChars="200" w:firstLine="643"/>
        <w:outlineLvl w:val="2"/>
        <w:rPr>
          <w:rFonts w:ascii="仿宋" w:eastAsia="仿宋" w:hAnsi="仿宋"/>
          <w:b/>
          <w:sz w:val="32"/>
          <w:szCs w:val="32"/>
        </w:rPr>
      </w:pPr>
      <w:bookmarkStart w:id="41" w:name="_Toc3846"/>
      <w:r>
        <w:rPr>
          <w:rFonts w:ascii="仿宋" w:eastAsia="仿宋" w:hAnsi="仿宋" w:hint="eastAsia"/>
          <w:b/>
          <w:sz w:val="32"/>
          <w:szCs w:val="32"/>
        </w:rPr>
        <w:t>（三）一般公共预算财政拨款支出决算具体情况</w:t>
      </w:r>
      <w:bookmarkEnd w:id="40"/>
      <w:bookmarkEnd w:id="41"/>
    </w:p>
    <w:p w:rsidR="009373D0" w:rsidRDefault="0071238A">
      <w:pPr>
        <w:spacing w:line="360" w:lineRule="auto"/>
        <w:ind w:firstLineChars="200" w:firstLine="640"/>
        <w:rPr>
          <w:rStyle w:val="a9"/>
          <w:rFonts w:ascii="仿宋" w:eastAsia="仿宋" w:hAnsi="仿宋" w:cstheme="minorBidi"/>
          <w:b w:val="0"/>
          <w:bCs/>
          <w:sz w:val="32"/>
          <w:szCs w:val="32"/>
        </w:rPr>
      </w:pPr>
      <w:bookmarkStart w:id="42" w:name="_Toc15377213"/>
      <w:bookmarkStart w:id="43" w:name="_Toc15378460"/>
      <w:bookmarkStart w:id="44" w:name="_Toc15377444"/>
      <w:r>
        <w:rPr>
          <w:rStyle w:val="a9"/>
          <w:rFonts w:ascii="仿宋" w:eastAsia="仿宋" w:hAnsi="仿宋" w:cstheme="minorBidi" w:hint="eastAsia"/>
          <w:b w:val="0"/>
          <w:bCs/>
          <w:sz w:val="32"/>
          <w:szCs w:val="32"/>
        </w:rPr>
        <w:t>2023年一般公共预算支出决算数为45,983.90万元，完成预算100%。其中：</w:t>
      </w:r>
      <w:bookmarkEnd w:id="42"/>
      <w:bookmarkEnd w:id="43"/>
      <w:bookmarkEnd w:id="44"/>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1、教育-普通教育-高等教育:支出决算为44,583.78万元，完成预算100%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2、教育-普通教育-中等职业教育:支出决算为1277.6</w:t>
      </w:r>
      <w:r>
        <w:rPr>
          <w:rStyle w:val="a9"/>
          <w:rFonts w:ascii="仿宋" w:eastAsia="仿宋" w:hAnsi="仿宋" w:cstheme="minorBidi" w:hint="eastAsia"/>
          <w:b w:val="0"/>
          <w:bCs/>
          <w:sz w:val="32"/>
          <w:szCs w:val="32"/>
        </w:rPr>
        <w:lastRenderedPageBreak/>
        <w:t>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3、科学技术支出-基础研究-基础科研:支出决算为1.22万元，完成预算100%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4、科学技术支出-其他科学技术支出-其他科学技术支出：支出决算为11.73万元，完成预算100%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5、文化旅游体育与传媒支出-文化和旅游-其他文化和旅游支出：支出决算为30.00万元，完成预算100%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6、文化旅游体育与传媒支出-其他文化旅游体育与传媒支出- 宣传文化发展专项支出：支出决算为52.03万元，完成预算100%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7、社会保障和就业支出-行政事业单位养老支出-事业单位离退休支出:支出决算为24.54万元，完成预算100%。</w:t>
      </w:r>
    </w:p>
    <w:p w:rsidR="009373D0" w:rsidRDefault="0071238A">
      <w:pPr>
        <w:spacing w:line="360" w:lineRule="auto"/>
        <w:ind w:firstLineChars="200" w:firstLine="640"/>
        <w:rPr>
          <w:rStyle w:val="a9"/>
          <w:rFonts w:ascii="仿宋" w:eastAsia="仿宋" w:hAnsi="仿宋" w:cstheme="minorBidi"/>
          <w:b w:val="0"/>
          <w:bCs/>
          <w:sz w:val="32"/>
          <w:szCs w:val="32"/>
        </w:rPr>
      </w:pPr>
      <w:r>
        <w:rPr>
          <w:rStyle w:val="a9"/>
          <w:rFonts w:ascii="仿宋" w:eastAsia="仿宋" w:hAnsi="仿宋" w:cstheme="minorBidi" w:hint="eastAsia"/>
          <w:b w:val="0"/>
          <w:bCs/>
          <w:sz w:val="32"/>
          <w:szCs w:val="32"/>
        </w:rPr>
        <w:t>8、卫生健康支出-公共卫生-重大公共卫生服务:支出决算为3万元，完成预算100%。</w:t>
      </w:r>
    </w:p>
    <w:p w:rsidR="009373D0" w:rsidRDefault="0071238A">
      <w:pPr>
        <w:tabs>
          <w:tab w:val="right" w:pos="8306"/>
        </w:tabs>
        <w:spacing w:line="360" w:lineRule="auto"/>
        <w:ind w:firstLine="640"/>
        <w:outlineLvl w:val="1"/>
        <w:rPr>
          <w:rStyle w:val="2Char"/>
        </w:rPr>
      </w:pPr>
      <w:bookmarkStart w:id="45" w:name="_Toc19223"/>
      <w:bookmarkStart w:id="46" w:name="_Toc15396608"/>
      <w:bookmarkStart w:id="47"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5"/>
      <w:bookmarkEnd w:id="46"/>
      <w:bookmarkEnd w:id="47"/>
      <w:r>
        <w:rPr>
          <w:rStyle w:val="2Char"/>
          <w:rFonts w:ascii="黑体" w:eastAsia="黑体" w:hAnsi="黑体"/>
          <w:b w:val="0"/>
        </w:rPr>
        <w:tab/>
      </w:r>
    </w:p>
    <w:p w:rsidR="009373D0" w:rsidRDefault="0071238A">
      <w:pPr>
        <w:spacing w:line="360" w:lineRule="auto"/>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23年一般公共预算财政拨款基本支出27,773.10万元，其中：</w:t>
      </w:r>
    </w:p>
    <w:p w:rsidR="009373D0" w:rsidRDefault="0071238A">
      <w:pPr>
        <w:spacing w:line="360" w:lineRule="auto"/>
        <w:ind w:firstLine="645"/>
        <w:rPr>
          <w:rFonts w:ascii="仿宋" w:eastAsia="仿宋" w:hAnsi="仿宋"/>
          <w:b/>
          <w:sz w:val="32"/>
          <w:szCs w:val="32"/>
        </w:rPr>
      </w:pPr>
      <w:r>
        <w:rPr>
          <w:rFonts w:ascii="仿宋" w:eastAsia="仿宋" w:hAnsi="仿宋" w:hint="eastAsia"/>
          <w:sz w:val="32"/>
          <w:szCs w:val="32"/>
        </w:rPr>
        <w:t>人员经费25,191.16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公用经费2,581.94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373D0" w:rsidRDefault="0071238A">
      <w:pPr>
        <w:spacing w:line="360" w:lineRule="auto"/>
        <w:ind w:firstLine="640"/>
        <w:outlineLvl w:val="1"/>
        <w:rPr>
          <w:rStyle w:val="2Char"/>
          <w:rFonts w:ascii="黑体" w:eastAsia="黑体" w:hAnsi="黑体"/>
          <w:b w:val="0"/>
        </w:rPr>
      </w:pPr>
      <w:bookmarkStart w:id="48" w:name="_Toc14554"/>
      <w:bookmarkStart w:id="49" w:name="_Toc15377215"/>
      <w:bookmarkStart w:id="50"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8"/>
      <w:bookmarkEnd w:id="49"/>
      <w:bookmarkEnd w:id="50"/>
    </w:p>
    <w:p w:rsidR="009373D0" w:rsidRDefault="0071238A">
      <w:pPr>
        <w:spacing w:line="360" w:lineRule="auto"/>
        <w:ind w:firstLine="640"/>
        <w:outlineLvl w:val="2"/>
        <w:rPr>
          <w:rFonts w:ascii="仿宋" w:eastAsia="仿宋" w:hAnsi="仿宋"/>
          <w:b/>
          <w:sz w:val="32"/>
          <w:szCs w:val="32"/>
        </w:rPr>
      </w:pPr>
      <w:bookmarkStart w:id="51" w:name="_Toc9631"/>
      <w:bookmarkStart w:id="52" w:name="_Toc15377216"/>
      <w:r>
        <w:rPr>
          <w:rFonts w:ascii="仿宋" w:eastAsia="仿宋" w:hAnsi="仿宋" w:hint="eastAsia"/>
          <w:b/>
          <w:sz w:val="32"/>
          <w:szCs w:val="32"/>
        </w:rPr>
        <w:t>（一）“三公”经费财政拨款支出决算总体情况说明</w:t>
      </w:r>
      <w:bookmarkEnd w:id="51"/>
      <w:bookmarkEnd w:id="52"/>
    </w:p>
    <w:p w:rsidR="009373D0" w:rsidRDefault="0071238A">
      <w:pPr>
        <w:spacing w:line="360" w:lineRule="auto"/>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23年未安排财政拨款“三公”经费，支出决算为0万元，与2022年一致。</w:t>
      </w:r>
    </w:p>
    <w:p w:rsidR="009373D0" w:rsidRDefault="0071238A">
      <w:pPr>
        <w:spacing w:line="360" w:lineRule="auto"/>
        <w:ind w:firstLine="640"/>
        <w:outlineLvl w:val="2"/>
        <w:rPr>
          <w:rFonts w:ascii="仿宋" w:eastAsia="仿宋" w:hAnsi="仿宋"/>
          <w:b/>
          <w:sz w:val="32"/>
          <w:szCs w:val="32"/>
        </w:rPr>
      </w:pPr>
      <w:bookmarkStart w:id="53" w:name="_Toc10583"/>
      <w:bookmarkStart w:id="54" w:name="_Toc15377217"/>
      <w:r>
        <w:rPr>
          <w:rFonts w:ascii="仿宋" w:eastAsia="仿宋" w:hAnsi="仿宋" w:hint="eastAsia"/>
          <w:b/>
          <w:sz w:val="32"/>
          <w:szCs w:val="32"/>
        </w:rPr>
        <w:t>（二）“三公”经费财政拨款支出决算具体情况说明</w:t>
      </w:r>
      <w:bookmarkEnd w:id="53"/>
      <w:bookmarkEnd w:id="54"/>
    </w:p>
    <w:p w:rsidR="009373D0" w:rsidRDefault="0071238A">
      <w:pPr>
        <w:spacing w:line="360" w:lineRule="auto"/>
        <w:ind w:firstLine="640"/>
        <w:rPr>
          <w:rFonts w:ascii="黑体" w:eastAsia="黑体"/>
          <w:sz w:val="32"/>
          <w:szCs w:val="32"/>
        </w:rPr>
      </w:pPr>
      <w:r>
        <w:rPr>
          <w:rFonts w:ascii="仿宋" w:eastAsia="仿宋" w:hAnsi="仿宋"/>
          <w:sz w:val="32"/>
          <w:szCs w:val="32"/>
        </w:rPr>
        <w:t>20</w:t>
      </w:r>
      <w:r>
        <w:rPr>
          <w:rFonts w:ascii="仿宋" w:eastAsia="仿宋" w:hAnsi="仿宋" w:hint="eastAsia"/>
          <w:sz w:val="32"/>
          <w:szCs w:val="32"/>
        </w:rPr>
        <w:t>23年未安排财政拨款“三公”经费，支出决算中，因公出国（境）费支出决算0万元；公务用车购置及运行维护费支出决算0万元；公务接待费支出决算0万元，与2022年一致。</w:t>
      </w:r>
      <w:bookmarkStart w:id="55" w:name="_Toc15396610"/>
      <w:bookmarkStart w:id="56" w:name="_Toc15377218"/>
    </w:p>
    <w:p w:rsidR="009373D0" w:rsidRDefault="0071238A">
      <w:pPr>
        <w:spacing w:line="360" w:lineRule="auto"/>
        <w:ind w:firstLine="640"/>
        <w:outlineLvl w:val="1"/>
        <w:rPr>
          <w:rStyle w:val="2Char"/>
          <w:rFonts w:ascii="黑体" w:eastAsia="黑体" w:hAnsi="黑体"/>
        </w:rPr>
      </w:pPr>
      <w:bookmarkStart w:id="57" w:name="_Toc15238"/>
      <w:r>
        <w:rPr>
          <w:rFonts w:ascii="黑体" w:eastAsia="黑体" w:hint="eastAsia"/>
          <w:sz w:val="32"/>
          <w:szCs w:val="32"/>
        </w:rPr>
        <w:t>八、</w:t>
      </w:r>
      <w:r>
        <w:rPr>
          <w:rStyle w:val="2Char"/>
          <w:rFonts w:ascii="黑体" w:eastAsia="黑体" w:hAnsi="黑体" w:hint="eastAsia"/>
          <w:b w:val="0"/>
        </w:rPr>
        <w:t>政府性基金预算支出决算情况说明</w:t>
      </w:r>
      <w:bookmarkEnd w:id="55"/>
      <w:bookmarkEnd w:id="56"/>
      <w:bookmarkEnd w:id="57"/>
    </w:p>
    <w:p w:rsidR="009373D0" w:rsidRDefault="0071238A">
      <w:pPr>
        <w:spacing w:line="360" w:lineRule="auto"/>
        <w:ind w:firstLine="640"/>
      </w:pPr>
      <w:r>
        <w:rPr>
          <w:rFonts w:ascii="仿宋_GB2312" w:eastAsia="仿宋_GB2312"/>
          <w:sz w:val="32"/>
          <w:szCs w:val="32"/>
        </w:rPr>
        <w:t>20</w:t>
      </w:r>
      <w:r>
        <w:rPr>
          <w:rFonts w:ascii="仿宋_GB2312" w:eastAsia="仿宋_GB2312" w:hint="eastAsia"/>
          <w:sz w:val="32"/>
          <w:szCs w:val="32"/>
        </w:rPr>
        <w:t>23年政府性基金预算财政拨款支出0万元。</w:t>
      </w:r>
    </w:p>
    <w:p w:rsidR="009373D0" w:rsidRDefault="0071238A">
      <w:pPr>
        <w:numPr>
          <w:ilvl w:val="0"/>
          <w:numId w:val="3"/>
        </w:numPr>
        <w:spacing w:line="360" w:lineRule="auto"/>
        <w:ind w:firstLine="640"/>
        <w:outlineLvl w:val="1"/>
        <w:rPr>
          <w:rStyle w:val="2Char"/>
          <w:rFonts w:ascii="黑体" w:eastAsia="黑体" w:hAnsi="黑体"/>
          <w:b w:val="0"/>
        </w:rPr>
      </w:pPr>
      <w:bookmarkStart w:id="58" w:name="_Toc15377219"/>
      <w:bookmarkStart w:id="59" w:name="_Toc31394"/>
      <w:bookmarkStart w:id="60" w:name="_Toc15396611"/>
      <w:r>
        <w:rPr>
          <w:rStyle w:val="2Char"/>
          <w:rFonts w:ascii="黑体" w:eastAsia="黑体" w:hAnsi="黑体" w:hint="eastAsia"/>
          <w:b w:val="0"/>
        </w:rPr>
        <w:t>国有资本经营预算支出决算情况说明</w:t>
      </w:r>
      <w:bookmarkEnd w:id="58"/>
      <w:bookmarkEnd w:id="59"/>
      <w:bookmarkEnd w:id="60"/>
    </w:p>
    <w:p w:rsidR="009373D0" w:rsidRDefault="0071238A">
      <w:pPr>
        <w:spacing w:line="360" w:lineRule="auto"/>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23年国有资本经营预算财政拨款支出0万元。</w:t>
      </w:r>
    </w:p>
    <w:p w:rsidR="009373D0" w:rsidRDefault="0071238A">
      <w:pPr>
        <w:numPr>
          <w:ilvl w:val="0"/>
          <w:numId w:val="3"/>
        </w:numPr>
        <w:spacing w:line="360" w:lineRule="auto"/>
        <w:ind w:firstLine="640"/>
        <w:outlineLvl w:val="1"/>
        <w:rPr>
          <w:rStyle w:val="2Char"/>
          <w:rFonts w:ascii="黑体" w:eastAsia="黑体" w:hAnsi="黑体"/>
          <w:b w:val="0"/>
        </w:rPr>
      </w:pPr>
      <w:bookmarkStart w:id="61" w:name="_Toc15377221"/>
      <w:bookmarkStart w:id="62" w:name="_Toc15396612"/>
      <w:bookmarkStart w:id="63" w:name="_Toc13123"/>
      <w:r>
        <w:rPr>
          <w:rStyle w:val="2Char"/>
          <w:rFonts w:ascii="黑体" w:eastAsia="黑体" w:hAnsi="黑体" w:hint="eastAsia"/>
          <w:b w:val="0"/>
        </w:rPr>
        <w:t>其他重要事项的情况说明</w:t>
      </w:r>
      <w:bookmarkEnd w:id="61"/>
      <w:bookmarkEnd w:id="62"/>
      <w:bookmarkEnd w:id="63"/>
    </w:p>
    <w:p w:rsidR="009373D0" w:rsidRDefault="0071238A">
      <w:pPr>
        <w:autoSpaceDE w:val="0"/>
        <w:autoSpaceDN w:val="0"/>
        <w:adjustRightInd w:val="0"/>
        <w:spacing w:line="360" w:lineRule="auto"/>
        <w:ind w:firstLineChars="200" w:firstLine="643"/>
        <w:jc w:val="left"/>
        <w:outlineLvl w:val="2"/>
        <w:rPr>
          <w:rFonts w:ascii="仿宋" w:eastAsia="仿宋" w:hAnsi="仿宋"/>
          <w:b/>
          <w:sz w:val="32"/>
          <w:szCs w:val="32"/>
        </w:rPr>
      </w:pPr>
      <w:bookmarkStart w:id="64" w:name="_Toc25265"/>
      <w:r>
        <w:rPr>
          <w:rFonts w:ascii="仿宋" w:eastAsia="仿宋" w:hAnsi="仿宋" w:hint="eastAsia"/>
          <w:b/>
          <w:sz w:val="32"/>
          <w:szCs w:val="32"/>
        </w:rPr>
        <w:t>（一）机关运行经费支出情况</w:t>
      </w:r>
      <w:bookmarkEnd w:id="64"/>
    </w:p>
    <w:p w:rsidR="009373D0" w:rsidRDefault="0071238A">
      <w:pPr>
        <w:spacing w:line="360" w:lineRule="auto"/>
        <w:ind w:firstLineChars="200" w:firstLine="640"/>
        <w:rPr>
          <w:rFonts w:ascii="仿宋" w:eastAsia="仿宋" w:hAnsi="仿宋"/>
          <w:b/>
          <w:sz w:val="32"/>
          <w:szCs w:val="32"/>
        </w:rPr>
      </w:pPr>
      <w:r>
        <w:rPr>
          <w:rFonts w:ascii="仿宋_GB2312" w:eastAsia="仿宋_GB2312" w:hint="eastAsia"/>
          <w:sz w:val="32"/>
          <w:szCs w:val="32"/>
        </w:rPr>
        <w:lastRenderedPageBreak/>
        <w:t>2023年，机关运行经费支出0万元，与2022年相比无增减变动。</w:t>
      </w:r>
    </w:p>
    <w:p w:rsidR="009373D0" w:rsidRDefault="0071238A">
      <w:pPr>
        <w:autoSpaceDE w:val="0"/>
        <w:autoSpaceDN w:val="0"/>
        <w:adjustRightInd w:val="0"/>
        <w:spacing w:line="360" w:lineRule="auto"/>
        <w:ind w:firstLineChars="200" w:firstLine="643"/>
        <w:jc w:val="left"/>
        <w:outlineLvl w:val="2"/>
        <w:rPr>
          <w:rFonts w:ascii="仿宋" w:eastAsia="仿宋" w:hAnsi="仿宋"/>
          <w:b/>
          <w:sz w:val="32"/>
          <w:szCs w:val="32"/>
        </w:rPr>
      </w:pPr>
      <w:bookmarkStart w:id="65" w:name="_Toc22245"/>
      <w:bookmarkStart w:id="66" w:name="_Toc15377223"/>
      <w:r>
        <w:rPr>
          <w:rFonts w:ascii="仿宋" w:eastAsia="仿宋" w:hAnsi="仿宋" w:hint="eastAsia"/>
          <w:b/>
          <w:sz w:val="32"/>
          <w:szCs w:val="32"/>
        </w:rPr>
        <w:t>（二）政府采购支出情况</w:t>
      </w:r>
      <w:bookmarkEnd w:id="65"/>
      <w:bookmarkEnd w:id="66"/>
    </w:p>
    <w:p w:rsidR="009373D0" w:rsidRDefault="0071238A">
      <w:pPr>
        <w:spacing w:line="360" w:lineRule="auto"/>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政府采购支出总额2,989.04万元，其中：政府采购货物支出1,825.6万元、政府采购工程支出75.78万元、政府采购服务支出1,087.65万元。主要用于物业管理费、教学楼设施得大型修缮、教学和行政设备采购、图书购置、信息软件购置等。授予中小企业合同金额1,761.09万元，占政府采购支出总额的58.92</w:t>
      </w:r>
      <w:r>
        <w:rPr>
          <w:rFonts w:ascii="仿宋" w:eastAsia="仿宋" w:hAnsi="仿宋"/>
          <w:sz w:val="32"/>
          <w:szCs w:val="32"/>
        </w:rPr>
        <w:t>%</w:t>
      </w:r>
      <w:r>
        <w:rPr>
          <w:rFonts w:ascii="仿宋" w:eastAsia="仿宋" w:hAnsi="仿宋" w:hint="eastAsia"/>
          <w:sz w:val="32"/>
          <w:szCs w:val="32"/>
        </w:rPr>
        <w:t>，其中：授予小微企业合同金额1,760.29万元，占政府采购支出总额的58.89</w:t>
      </w:r>
      <w:r>
        <w:rPr>
          <w:rFonts w:ascii="仿宋" w:eastAsia="仿宋" w:hAnsi="仿宋"/>
          <w:sz w:val="32"/>
          <w:szCs w:val="32"/>
        </w:rPr>
        <w:t>%</w:t>
      </w:r>
      <w:r>
        <w:rPr>
          <w:rFonts w:ascii="仿宋" w:eastAsia="仿宋" w:hAnsi="仿宋" w:hint="eastAsia"/>
          <w:sz w:val="32"/>
          <w:szCs w:val="32"/>
        </w:rPr>
        <w:t>。</w:t>
      </w:r>
    </w:p>
    <w:p w:rsidR="009373D0" w:rsidRDefault="0071238A">
      <w:pPr>
        <w:autoSpaceDE w:val="0"/>
        <w:autoSpaceDN w:val="0"/>
        <w:adjustRightInd w:val="0"/>
        <w:spacing w:line="360" w:lineRule="auto"/>
        <w:ind w:firstLineChars="200" w:firstLine="643"/>
        <w:jc w:val="left"/>
        <w:outlineLvl w:val="2"/>
        <w:rPr>
          <w:rFonts w:ascii="仿宋" w:eastAsia="仿宋" w:hAnsi="仿宋"/>
          <w:b/>
          <w:sz w:val="32"/>
          <w:szCs w:val="32"/>
        </w:rPr>
      </w:pPr>
      <w:bookmarkStart w:id="67" w:name="_Toc15377224"/>
      <w:bookmarkStart w:id="68" w:name="_Toc1921"/>
      <w:r>
        <w:rPr>
          <w:rFonts w:ascii="仿宋" w:eastAsia="仿宋" w:hAnsi="仿宋" w:hint="eastAsia"/>
          <w:b/>
          <w:sz w:val="32"/>
          <w:szCs w:val="32"/>
        </w:rPr>
        <w:t>（三）国有资产占有使用情况</w:t>
      </w:r>
      <w:bookmarkEnd w:id="67"/>
      <w:bookmarkEnd w:id="68"/>
    </w:p>
    <w:p w:rsidR="009373D0" w:rsidRDefault="0071238A">
      <w:pPr>
        <w:autoSpaceDE w:val="0"/>
        <w:autoSpaceDN w:val="0"/>
        <w:adjustRightInd w:val="0"/>
        <w:spacing w:line="360" w:lineRule="auto"/>
        <w:ind w:firstLineChars="200" w:firstLine="640"/>
        <w:jc w:val="left"/>
      </w:pP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23年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日，共有车辆24辆，其中：主要领导干部用车2辆、机要通信用车1辆、其他用车21辆；单价100万元（含）以上设备（不含车辆）7台（套）。</w:t>
      </w:r>
    </w:p>
    <w:p w:rsidR="009373D0" w:rsidRDefault="0071238A">
      <w:pPr>
        <w:autoSpaceDE w:val="0"/>
        <w:autoSpaceDN w:val="0"/>
        <w:adjustRightInd w:val="0"/>
        <w:spacing w:line="360" w:lineRule="auto"/>
        <w:ind w:firstLineChars="200" w:firstLine="643"/>
        <w:jc w:val="left"/>
        <w:outlineLvl w:val="2"/>
        <w:rPr>
          <w:rFonts w:ascii="仿宋" w:eastAsia="仿宋" w:hAnsi="仿宋"/>
          <w:b/>
          <w:sz w:val="32"/>
          <w:szCs w:val="32"/>
        </w:rPr>
      </w:pPr>
      <w:bookmarkStart w:id="69" w:name="_Toc20471"/>
      <w:r>
        <w:rPr>
          <w:rFonts w:ascii="仿宋" w:eastAsia="仿宋" w:hAnsi="仿宋" w:hint="eastAsia"/>
          <w:b/>
          <w:sz w:val="32"/>
          <w:szCs w:val="32"/>
        </w:rPr>
        <w:t>（四）预算绩效管理情况</w:t>
      </w:r>
      <w:bookmarkEnd w:id="69"/>
    </w:p>
    <w:p w:rsidR="009373D0" w:rsidRDefault="0071238A">
      <w:pPr>
        <w:widowControl/>
        <w:ind w:firstLineChars="200" w:firstLine="640"/>
        <w:jc w:val="left"/>
      </w:pPr>
      <w:r>
        <w:rPr>
          <w:rFonts w:ascii="仿宋" w:eastAsia="仿宋" w:hAnsi="仿宋" w:cs="仿宋" w:hint="eastAsia"/>
          <w:sz w:val="32"/>
          <w:szCs w:val="32"/>
        </w:rPr>
        <w:t>根据预算绩效管理要求，本单位在2023年度预算编制阶段，组织对中长期贷款项目等4个项目开展了预算事前绩效评估，对11个项目编制了绩效目标，预算执行过程中，选取11个项目开展绩效监控，组织对11个项目开展绩效自评，绩效自评表详见第四部分附件。</w:t>
      </w:r>
    </w:p>
    <w:p w:rsidR="009373D0" w:rsidRDefault="0071238A">
      <w:pPr>
        <w:widowControl/>
        <w:jc w:val="left"/>
        <w:rPr>
          <w:rFonts w:ascii="仿宋_GB2312" w:eastAsia="仿宋_GB2312"/>
          <w:b/>
          <w:sz w:val="32"/>
          <w:szCs w:val="32"/>
        </w:rPr>
      </w:pPr>
      <w:r>
        <w:rPr>
          <w:rFonts w:ascii="仿宋_GB2312" w:eastAsia="仿宋_GB2312"/>
          <w:b/>
          <w:sz w:val="32"/>
          <w:szCs w:val="32"/>
        </w:rPr>
        <w:br w:type="page"/>
      </w:r>
    </w:p>
    <w:p w:rsidR="009373D0" w:rsidRDefault="0071238A">
      <w:pPr>
        <w:numPr>
          <w:ilvl w:val="0"/>
          <w:numId w:val="4"/>
        </w:numPr>
        <w:spacing w:line="360" w:lineRule="auto"/>
        <w:ind w:firstLineChars="150" w:firstLine="660"/>
        <w:jc w:val="center"/>
        <w:outlineLvl w:val="0"/>
        <w:rPr>
          <w:rFonts w:ascii="宋体"/>
          <w:b/>
          <w:color w:val="000000"/>
          <w:sz w:val="44"/>
          <w:szCs w:val="44"/>
        </w:rPr>
      </w:pPr>
      <w:bookmarkStart w:id="70" w:name="_Toc15396613"/>
      <w:bookmarkStart w:id="71" w:name="_Toc8682"/>
      <w:bookmarkStart w:id="72"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0"/>
      <w:bookmarkEnd w:id="71"/>
      <w:bookmarkEnd w:id="72"/>
    </w:p>
    <w:p w:rsidR="009373D0" w:rsidRDefault="009373D0">
      <w:pPr>
        <w:pStyle w:val="a3"/>
        <w:spacing w:before="93"/>
      </w:pPr>
    </w:p>
    <w:p w:rsidR="009373D0" w:rsidRDefault="0071238A">
      <w:pPr>
        <w:pStyle w:val="Default"/>
        <w:spacing w:line="360" w:lineRule="auto"/>
        <w:ind w:firstLineChars="200" w:firstLine="640"/>
        <w:outlineLvl w:val="1"/>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事业收入：指事业单位开展专业业务活动及辅助活动取得的收入。如学费、住宿费等。</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其他收入：指单位取得的除上述收入以外的各项收入。主要是如教师资格考试收入等。</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373D0" w:rsidRDefault="0071238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高等教育205（类）02（款）05（项）：反映经国家批准设立的中央和省、自治区、直辖市各部门 所属的全日制普通高等院校（包括研究生）的支出。政府各 部门对社会中介组织等举办的各类高等院校的资助，如捐赠、 补贴等，</w:t>
      </w:r>
      <w:r>
        <w:rPr>
          <w:rFonts w:ascii="仿宋_GB2312" w:eastAsia="仿宋_GB2312" w:hint="eastAsia"/>
          <w:color w:val="000000"/>
          <w:sz w:val="32"/>
          <w:szCs w:val="32"/>
        </w:rPr>
        <w:lastRenderedPageBreak/>
        <w:t>也在本科目中反映。</w:t>
      </w:r>
    </w:p>
    <w:p w:rsidR="009373D0" w:rsidRDefault="0071238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学前教育205（类）02（款）01（项）：反映各部门举办的学前教育支出。</w:t>
      </w:r>
    </w:p>
    <w:p w:rsidR="009373D0" w:rsidRDefault="0071238A">
      <w:pPr>
        <w:spacing w:line="360" w:lineRule="auto"/>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中等职业教育205（类）03（款）02（项）：反映各部门（不含人力资源社会保障部门）举办的中等职 业学校支出。</w:t>
      </w:r>
    </w:p>
    <w:p w:rsidR="009373D0" w:rsidRDefault="0071238A">
      <w:pPr>
        <w:spacing w:line="360" w:lineRule="auto"/>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学前教育205（类）02（款）01（项）：反映各部门举办的学前教育支出。</w:t>
      </w:r>
    </w:p>
    <w:p w:rsidR="009373D0" w:rsidRDefault="0071238A">
      <w:pPr>
        <w:spacing w:line="360" w:lineRule="auto"/>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专项基础科研206（类）02（款）06（项）：反映用于专项基础科研方面的支出。</w:t>
      </w:r>
    </w:p>
    <w:p w:rsidR="009373D0" w:rsidRDefault="0071238A">
      <w:pPr>
        <w:spacing w:line="360" w:lineRule="auto"/>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其他技术研究与开发支出206（类）04（款）99（项）：反映除上述项目以外其他用于技术研究与开发方面的支出。</w:t>
      </w:r>
    </w:p>
    <w:p w:rsidR="009373D0" w:rsidRDefault="0071238A">
      <w:pPr>
        <w:spacing w:line="360" w:lineRule="auto"/>
        <w:ind w:firstLine="640"/>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其他科学技术支出206（类）99（款）99（项）：反映其他科学技术支出中除以上各项外用于科技方面的 支出。</w:t>
      </w:r>
    </w:p>
    <w:p w:rsidR="009373D0" w:rsidRDefault="0071238A">
      <w:pPr>
        <w:spacing w:line="360" w:lineRule="auto"/>
        <w:ind w:firstLine="640"/>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其他社会保障和就业支出208（类）99（款）01（项）：反映其他用于社会保障和就业方面的支出。</w:t>
      </w:r>
    </w:p>
    <w:p w:rsidR="009373D0" w:rsidRDefault="0071238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基本支出：指为保障机构正常运转、完成日常工作任务而发生的人员支出和公用支出。</w:t>
      </w:r>
    </w:p>
    <w:p w:rsidR="009373D0" w:rsidRDefault="0071238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p>
    <w:p w:rsidR="009373D0" w:rsidRDefault="0071238A">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9.</w:t>
      </w:r>
      <w:r>
        <w:rPr>
          <w:rFonts w:ascii="仿宋_GB2312" w:eastAsia="仿宋_GB2312" w:hint="eastAsia"/>
          <w:color w:val="000000"/>
          <w:sz w:val="32"/>
          <w:szCs w:val="32"/>
        </w:rPr>
        <w:t>经营支出：指事业单位在专业业务活动及其辅助活动之外开展非独立核算经营活动发生的支出。</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sz w:val="32"/>
          <w:szCs w:val="32"/>
        </w:rPr>
        <w:t>0.</w:t>
      </w:r>
      <w:r>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73D0" w:rsidRDefault="0071238A">
      <w:pPr>
        <w:pStyle w:val="Default"/>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73D0" w:rsidRDefault="0071238A">
      <w:pPr>
        <w:widowControl/>
        <w:jc w:val="left"/>
        <w:rPr>
          <w:rFonts w:ascii="仿宋_GB2312" w:eastAsia="仿宋_GB2312" w:hAnsi="Calibri" w:cs="黑体"/>
          <w:color w:val="000000"/>
          <w:kern w:val="0"/>
          <w:sz w:val="32"/>
          <w:szCs w:val="32"/>
        </w:rPr>
      </w:pPr>
      <w:r>
        <w:rPr>
          <w:rFonts w:ascii="仿宋_GB2312" w:eastAsia="仿宋_GB2312" w:cs="黑体"/>
          <w:sz w:val="32"/>
          <w:szCs w:val="32"/>
        </w:rPr>
        <w:br w:type="page"/>
      </w:r>
    </w:p>
    <w:p w:rsidR="009373D0" w:rsidRDefault="0071238A">
      <w:pPr>
        <w:spacing w:line="600" w:lineRule="exact"/>
        <w:jc w:val="center"/>
        <w:outlineLvl w:val="0"/>
        <w:rPr>
          <w:rStyle w:val="1Char1"/>
          <w:rFonts w:ascii="黑体" w:eastAsia="黑体" w:hAnsi="黑体"/>
          <w:b w:val="0"/>
        </w:rPr>
      </w:pPr>
      <w:bookmarkStart w:id="73" w:name="_Toc15396614"/>
      <w:bookmarkStart w:id="74" w:name="_Toc15232"/>
      <w:r>
        <w:rPr>
          <w:rFonts w:ascii="黑体" w:eastAsia="黑体" w:hAnsi="黑体" w:hint="eastAsia"/>
          <w:sz w:val="44"/>
          <w:szCs w:val="44"/>
        </w:rPr>
        <w:lastRenderedPageBreak/>
        <w:t>第</w:t>
      </w:r>
      <w:r>
        <w:rPr>
          <w:rStyle w:val="1Char1"/>
          <w:rFonts w:ascii="黑体" w:eastAsia="黑体" w:hAnsi="黑体" w:hint="eastAsia"/>
          <w:b w:val="0"/>
        </w:rPr>
        <w:t>四部分 附件</w:t>
      </w:r>
      <w:bookmarkEnd w:id="73"/>
      <w:bookmarkEnd w:id="74"/>
    </w:p>
    <w:p w:rsidR="009373D0" w:rsidRDefault="009373D0">
      <w:pPr>
        <w:spacing w:line="572" w:lineRule="exact"/>
        <w:jc w:val="left"/>
        <w:rPr>
          <w:rFonts w:ascii="仿宋_GB2312" w:eastAsia="仿宋_GB2312" w:hAnsi="仿宋_GB2312" w:cs="仿宋_GB2312"/>
          <w:sz w:val="32"/>
          <w:szCs w:val="32"/>
        </w:rPr>
      </w:pPr>
    </w:p>
    <w:p w:rsidR="009373D0" w:rsidRDefault="0071238A">
      <w:pPr>
        <w:spacing w:line="600" w:lineRule="exact"/>
        <w:jc w:val="cente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部门预算项目支出绩效自评表（2023年度）</w:t>
      </w:r>
    </w:p>
    <w:p w:rsidR="009373D0" w:rsidRDefault="009373D0">
      <w:pPr>
        <w:pStyle w:val="a3"/>
        <w:spacing w:before="93"/>
        <w:rPr>
          <w:rFonts w:hAnsi="Calibri" w:cs="仿宋"/>
          <w:color w:val="000000"/>
          <w:sz w:val="32"/>
          <w:szCs w:val="32"/>
        </w:rPr>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pPr>
        <w:pStyle w:val="a3"/>
        <w:spacing w:before="93"/>
      </w:pPr>
    </w:p>
    <w:p w:rsidR="009373D0" w:rsidRDefault="009373D0">
      <w:bookmarkStart w:id="75" w:name="_Toc15377226"/>
      <w:bookmarkStart w:id="76" w:name="_Toc19487"/>
      <w:bookmarkStart w:id="77" w:name="_Toc15396618"/>
    </w:p>
    <w:p w:rsidR="009373D0" w:rsidRDefault="009373D0"/>
    <w:p w:rsidR="009373D0" w:rsidRDefault="0071238A">
      <w:pPr>
        <w:spacing w:line="600" w:lineRule="exact"/>
        <w:jc w:val="center"/>
        <w:outlineLvl w:val="0"/>
        <w:rPr>
          <w:rFonts w:ascii="仿宋" w:eastAsia="仿宋" w:hAnsi="仿宋"/>
          <w:color w:val="000000"/>
        </w:rPr>
      </w:pPr>
      <w:r>
        <w:rPr>
          <w:rFonts w:ascii="黑体" w:eastAsia="黑体" w:hAnsi="黑体" w:hint="eastAsia"/>
          <w:color w:val="000000"/>
          <w:sz w:val="44"/>
          <w:szCs w:val="44"/>
        </w:rPr>
        <w:t>第</w:t>
      </w:r>
      <w:r>
        <w:rPr>
          <w:rStyle w:val="1Char"/>
          <w:rFonts w:ascii="黑体" w:eastAsia="黑体" w:hAnsi="黑体" w:hint="eastAsia"/>
          <w:b w:val="0"/>
        </w:rPr>
        <w:t>五部分 附表</w:t>
      </w:r>
      <w:bookmarkStart w:id="78" w:name="_Toc15396619"/>
      <w:bookmarkEnd w:id="75"/>
      <w:bookmarkEnd w:id="76"/>
      <w:bookmarkEnd w:id="77"/>
    </w:p>
    <w:p w:rsidR="009373D0" w:rsidRDefault="0071238A">
      <w:pPr>
        <w:pStyle w:val="2"/>
        <w:rPr>
          <w:rFonts w:ascii="仿宋_GB2312" w:eastAsia="仿宋_GB2312" w:hAnsi="Calibri" w:cs="仿宋"/>
          <w:b w:val="0"/>
          <w:bCs w:val="0"/>
          <w:color w:val="000000"/>
          <w:kern w:val="0"/>
        </w:rPr>
      </w:pPr>
      <w:bookmarkStart w:id="79" w:name="_Toc7948"/>
      <w:r>
        <w:rPr>
          <w:rFonts w:ascii="仿宋_GB2312" w:eastAsia="仿宋_GB2312" w:hAnsi="Calibri" w:cs="仿宋" w:hint="eastAsia"/>
          <w:b w:val="0"/>
          <w:bCs w:val="0"/>
          <w:color w:val="000000"/>
          <w:kern w:val="0"/>
        </w:rPr>
        <w:t>一、收入支出决算</w:t>
      </w:r>
      <w:bookmarkEnd w:id="78"/>
      <w:bookmarkEnd w:id="79"/>
      <w:r>
        <w:rPr>
          <w:rFonts w:ascii="仿宋_GB2312" w:eastAsia="仿宋_GB2312" w:hAnsi="Calibri" w:cs="仿宋" w:hint="eastAsia"/>
          <w:b w:val="0"/>
          <w:bCs w:val="0"/>
          <w:color w:val="000000"/>
          <w:kern w:val="0"/>
        </w:rPr>
        <w:t>批复表</w:t>
      </w:r>
    </w:p>
    <w:p w:rsidR="009373D0" w:rsidRDefault="0071238A">
      <w:pPr>
        <w:pStyle w:val="2"/>
        <w:rPr>
          <w:rFonts w:ascii="仿宋_GB2312" w:eastAsia="仿宋_GB2312" w:hAnsi="Calibri" w:cs="仿宋"/>
          <w:b w:val="0"/>
          <w:bCs w:val="0"/>
          <w:color w:val="000000"/>
          <w:kern w:val="0"/>
        </w:rPr>
      </w:pPr>
      <w:bookmarkStart w:id="80" w:name="_Toc15396620"/>
      <w:bookmarkStart w:id="81" w:name="_Toc284"/>
      <w:r>
        <w:rPr>
          <w:rFonts w:ascii="仿宋_GB2312" w:eastAsia="仿宋_GB2312" w:hAnsi="Calibri" w:cs="仿宋" w:hint="eastAsia"/>
          <w:b w:val="0"/>
          <w:bCs w:val="0"/>
          <w:color w:val="000000"/>
          <w:kern w:val="0"/>
        </w:rPr>
        <w:t>二、收入决算批复表</w:t>
      </w:r>
      <w:bookmarkEnd w:id="80"/>
      <w:bookmarkEnd w:id="81"/>
    </w:p>
    <w:p w:rsidR="009373D0" w:rsidRDefault="0071238A">
      <w:pPr>
        <w:pStyle w:val="2"/>
        <w:rPr>
          <w:rFonts w:ascii="仿宋_GB2312" w:eastAsia="仿宋_GB2312" w:hAnsi="Calibri" w:cs="仿宋"/>
          <w:b w:val="0"/>
          <w:bCs w:val="0"/>
          <w:color w:val="000000"/>
          <w:kern w:val="0"/>
        </w:rPr>
      </w:pPr>
      <w:bookmarkStart w:id="82" w:name="_Toc15396621"/>
      <w:bookmarkStart w:id="83" w:name="_Toc20184"/>
      <w:r>
        <w:rPr>
          <w:rFonts w:ascii="仿宋_GB2312" w:eastAsia="仿宋_GB2312" w:hAnsi="Calibri" w:cs="仿宋" w:hint="eastAsia"/>
          <w:b w:val="0"/>
          <w:bCs w:val="0"/>
          <w:color w:val="000000"/>
          <w:kern w:val="0"/>
        </w:rPr>
        <w:t>三、支出决算批复表</w:t>
      </w:r>
      <w:bookmarkEnd w:id="82"/>
      <w:bookmarkEnd w:id="83"/>
    </w:p>
    <w:p w:rsidR="009373D0" w:rsidRDefault="0071238A">
      <w:pPr>
        <w:pStyle w:val="2"/>
        <w:rPr>
          <w:rFonts w:ascii="仿宋_GB2312" w:eastAsia="仿宋_GB2312" w:hAnsi="Calibri" w:cs="仿宋"/>
          <w:b w:val="0"/>
          <w:bCs w:val="0"/>
          <w:color w:val="000000"/>
          <w:kern w:val="0"/>
        </w:rPr>
      </w:pPr>
      <w:bookmarkStart w:id="84" w:name="_Toc15502"/>
      <w:bookmarkStart w:id="85" w:name="_Toc15396622"/>
      <w:r>
        <w:rPr>
          <w:rFonts w:ascii="仿宋_GB2312" w:eastAsia="仿宋_GB2312" w:hAnsi="Calibri" w:cs="仿宋" w:hint="eastAsia"/>
          <w:b w:val="0"/>
          <w:bCs w:val="0"/>
          <w:color w:val="000000"/>
          <w:kern w:val="0"/>
        </w:rPr>
        <w:t>四、财政拨款收入支出决算批复表</w:t>
      </w:r>
      <w:bookmarkEnd w:id="84"/>
      <w:bookmarkEnd w:id="85"/>
    </w:p>
    <w:p w:rsidR="009373D0" w:rsidRDefault="0071238A">
      <w:pPr>
        <w:pStyle w:val="2"/>
        <w:rPr>
          <w:rFonts w:ascii="仿宋_GB2312" w:eastAsia="仿宋_GB2312" w:hAnsi="Calibri" w:cs="仿宋"/>
          <w:b w:val="0"/>
          <w:bCs w:val="0"/>
          <w:color w:val="000000"/>
          <w:kern w:val="0"/>
        </w:rPr>
      </w:pPr>
      <w:bookmarkStart w:id="86" w:name="_Toc15396623"/>
      <w:bookmarkStart w:id="87" w:name="_Toc5792"/>
      <w:r>
        <w:rPr>
          <w:rFonts w:ascii="仿宋_GB2312" w:eastAsia="仿宋_GB2312" w:hAnsi="Calibri" w:cs="仿宋" w:hint="eastAsia"/>
          <w:b w:val="0"/>
          <w:bCs w:val="0"/>
          <w:color w:val="000000"/>
          <w:kern w:val="0"/>
        </w:rPr>
        <w:t>五、</w:t>
      </w:r>
      <w:bookmarkStart w:id="88" w:name="_Toc16803"/>
      <w:bookmarkStart w:id="89" w:name="_Toc15396626"/>
      <w:bookmarkEnd w:id="86"/>
      <w:bookmarkEnd w:id="87"/>
      <w:r>
        <w:rPr>
          <w:rFonts w:ascii="仿宋_GB2312" w:eastAsia="仿宋_GB2312" w:hAnsi="Calibri" w:cs="仿宋" w:hint="eastAsia"/>
          <w:b w:val="0"/>
          <w:bCs w:val="0"/>
          <w:color w:val="000000"/>
          <w:kern w:val="0"/>
        </w:rPr>
        <w:t>一般公共预算财政拨款收入支出决算批复表</w:t>
      </w:r>
    </w:p>
    <w:p w:rsidR="009373D0" w:rsidRDefault="0071238A">
      <w:pPr>
        <w:pStyle w:val="2"/>
        <w:rPr>
          <w:rFonts w:ascii="仿宋_GB2312" w:eastAsia="仿宋_GB2312" w:hAnsi="Calibri" w:cs="仿宋"/>
          <w:b w:val="0"/>
          <w:bCs w:val="0"/>
          <w:color w:val="000000"/>
          <w:kern w:val="0"/>
        </w:rPr>
      </w:pPr>
      <w:r>
        <w:rPr>
          <w:rFonts w:ascii="仿宋_GB2312" w:eastAsia="仿宋_GB2312" w:hAnsi="Calibri" w:cs="仿宋" w:hint="eastAsia"/>
          <w:b w:val="0"/>
          <w:bCs w:val="0"/>
          <w:color w:val="000000"/>
          <w:kern w:val="0"/>
        </w:rPr>
        <w:t>六、</w:t>
      </w:r>
      <w:bookmarkStart w:id="90" w:name="_Toc15396629"/>
      <w:bookmarkStart w:id="91" w:name="_Toc22583"/>
      <w:bookmarkEnd w:id="88"/>
      <w:bookmarkEnd w:id="89"/>
      <w:r>
        <w:rPr>
          <w:rFonts w:ascii="仿宋_GB2312" w:eastAsia="仿宋_GB2312" w:hAnsi="Calibri" w:cs="仿宋" w:hint="eastAsia"/>
          <w:b w:val="0"/>
          <w:bCs w:val="0"/>
          <w:color w:val="000000"/>
          <w:kern w:val="0"/>
        </w:rPr>
        <w:t>一般公共预算财政拨款基本支出决算明细批复表</w:t>
      </w:r>
    </w:p>
    <w:p w:rsidR="009373D0" w:rsidRDefault="0071238A">
      <w:pPr>
        <w:pStyle w:val="2"/>
        <w:rPr>
          <w:rFonts w:ascii="仿宋_GB2312" w:eastAsia="仿宋_GB2312" w:hAnsi="Calibri" w:cs="仿宋"/>
          <w:b w:val="0"/>
          <w:bCs w:val="0"/>
          <w:color w:val="000000"/>
          <w:kern w:val="0"/>
        </w:rPr>
      </w:pPr>
      <w:r>
        <w:rPr>
          <w:rFonts w:ascii="仿宋_GB2312" w:eastAsia="仿宋_GB2312" w:hAnsi="Calibri" w:cs="仿宋" w:hint="eastAsia"/>
          <w:b w:val="0"/>
          <w:bCs w:val="0"/>
          <w:color w:val="000000"/>
          <w:kern w:val="0"/>
        </w:rPr>
        <w:t>七、</w:t>
      </w:r>
      <w:bookmarkStart w:id="92" w:name="_Toc15396631"/>
      <w:bookmarkStart w:id="93" w:name="_Toc17350"/>
      <w:bookmarkEnd w:id="90"/>
      <w:bookmarkEnd w:id="91"/>
      <w:r>
        <w:rPr>
          <w:rFonts w:ascii="仿宋_GB2312" w:eastAsia="仿宋_GB2312" w:hAnsi="Calibri" w:cs="仿宋" w:hint="eastAsia"/>
          <w:b w:val="0"/>
          <w:bCs w:val="0"/>
          <w:color w:val="000000"/>
          <w:kern w:val="0"/>
        </w:rPr>
        <w:t>政府性基金预算财政拨款收入支出决算批复表</w:t>
      </w:r>
    </w:p>
    <w:p w:rsidR="009373D0" w:rsidRDefault="0071238A">
      <w:pPr>
        <w:pStyle w:val="2"/>
        <w:rPr>
          <w:rFonts w:ascii="仿宋_GB2312" w:eastAsia="仿宋_GB2312" w:hAnsi="Calibri" w:cs="仿宋"/>
          <w:b w:val="0"/>
          <w:bCs w:val="0"/>
          <w:color w:val="000000"/>
          <w:kern w:val="0"/>
        </w:rPr>
      </w:pPr>
      <w:r>
        <w:rPr>
          <w:rFonts w:ascii="仿宋_GB2312" w:eastAsia="仿宋_GB2312" w:hAnsi="Calibri" w:cs="仿宋" w:hint="eastAsia"/>
          <w:b w:val="0"/>
          <w:bCs w:val="0"/>
          <w:color w:val="000000"/>
          <w:kern w:val="0"/>
        </w:rPr>
        <w:t>八、</w:t>
      </w:r>
      <w:bookmarkEnd w:id="92"/>
      <w:bookmarkEnd w:id="93"/>
      <w:r>
        <w:rPr>
          <w:rFonts w:ascii="仿宋_GB2312" w:eastAsia="仿宋_GB2312" w:hAnsi="Calibri" w:cs="仿宋" w:hint="eastAsia"/>
          <w:b w:val="0"/>
          <w:bCs w:val="0"/>
          <w:color w:val="000000"/>
          <w:kern w:val="0"/>
        </w:rPr>
        <w:t>国有资本经营预算财政拨款支出决算表</w:t>
      </w:r>
    </w:p>
    <w:p w:rsidR="009373D0" w:rsidRDefault="0071238A">
      <w:pPr>
        <w:pStyle w:val="2"/>
        <w:rPr>
          <w:rFonts w:ascii="仿宋_GB2312" w:eastAsia="仿宋_GB2312" w:hAnsi="Calibri" w:cs="仿宋"/>
          <w:b w:val="0"/>
          <w:bCs w:val="0"/>
          <w:color w:val="000000"/>
          <w:kern w:val="0"/>
        </w:rPr>
      </w:pPr>
      <w:bookmarkStart w:id="94" w:name="_Toc19045"/>
      <w:r>
        <w:rPr>
          <w:rFonts w:ascii="仿宋_GB2312" w:eastAsia="仿宋_GB2312" w:hAnsi="Calibri" w:cs="仿宋" w:hint="eastAsia"/>
          <w:b w:val="0"/>
          <w:bCs w:val="0"/>
          <w:color w:val="000000"/>
          <w:kern w:val="0"/>
        </w:rPr>
        <w:t>九、部门决算量化评价表</w:t>
      </w:r>
      <w:bookmarkEnd w:id="94"/>
    </w:p>
    <w:sectPr w:rsidR="009373D0" w:rsidSect="009373D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4AF" w:rsidRDefault="00D244AF" w:rsidP="009373D0">
      <w:r>
        <w:separator/>
      </w:r>
    </w:p>
  </w:endnote>
  <w:endnote w:type="continuationSeparator" w:id="1">
    <w:p w:rsidR="00D244AF" w:rsidRDefault="00D244AF" w:rsidP="00937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0" w:rsidRDefault="001D10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373D0" w:rsidRDefault="00012117">
        <w:pPr>
          <w:pStyle w:val="a5"/>
          <w:jc w:val="center"/>
        </w:pPr>
        <w:r w:rsidRPr="00012117">
          <w:fldChar w:fldCharType="begin"/>
        </w:r>
        <w:r w:rsidR="0071238A">
          <w:instrText>PAGE   \* MERGEFORMAT</w:instrText>
        </w:r>
        <w:r w:rsidRPr="00012117">
          <w:fldChar w:fldCharType="separate"/>
        </w:r>
        <w:r w:rsidR="0071238A">
          <w:rPr>
            <w:lang w:val="zh-CN"/>
          </w:rPr>
          <w:t>9</w:t>
        </w:r>
        <w:r>
          <w:rPr>
            <w:lang w:val="zh-CN"/>
          </w:rPr>
          <w:fldChar w:fldCharType="end"/>
        </w:r>
      </w:p>
    </w:sdtContent>
  </w:sdt>
  <w:p w:rsidR="009373D0" w:rsidRDefault="009373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0" w:rsidRDefault="001D105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D0" w:rsidRDefault="00012117">
    <w:pPr>
      <w:pStyle w:val="a5"/>
      <w:jc w:val="center"/>
    </w:pPr>
    <w:r>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filled="f" stroked="f" strokeweight=".5pt">
          <v:textbox style="mso-next-textbox:#文本框 2;mso-fit-shape-to-text:t" inset="0,0,0,0">
            <w:txbxContent>
              <w:sdt>
                <w:sdtPr>
                  <w:id w:val="147482265"/>
                </w:sdtPr>
                <w:sdtContent>
                  <w:p w:rsidR="009373D0" w:rsidRDefault="00012117">
                    <w:pPr>
                      <w:pStyle w:val="a5"/>
                      <w:jc w:val="center"/>
                    </w:pPr>
                    <w:r w:rsidRPr="00012117">
                      <w:fldChar w:fldCharType="begin"/>
                    </w:r>
                    <w:r w:rsidR="0071238A">
                      <w:instrText>PAGE   \* MERGEFORMAT</w:instrText>
                    </w:r>
                    <w:r w:rsidRPr="00012117">
                      <w:fldChar w:fldCharType="separate"/>
                    </w:r>
                    <w:r w:rsidR="007C08BA" w:rsidRPr="007C08BA">
                      <w:rPr>
                        <w:noProof/>
                        <w:lang w:val="zh-CN"/>
                      </w:rPr>
                      <w:t>3</w:t>
                    </w:r>
                    <w:r>
                      <w:rPr>
                        <w:lang w:val="zh-CN"/>
                      </w:rPr>
                      <w:fldChar w:fldCharType="end"/>
                    </w:r>
                  </w:p>
                </w:sdtContent>
              </w:sdt>
              <w:p w:rsidR="009373D0" w:rsidRDefault="009373D0">
                <w:pPr>
                  <w:pStyle w:val="5"/>
                </w:pPr>
              </w:p>
            </w:txbxContent>
          </v:textbox>
          <w10:wrap anchorx="margin"/>
        </v:shape>
      </w:pict>
    </w:r>
  </w:p>
  <w:p w:rsidR="009373D0" w:rsidRDefault="009373D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D0" w:rsidRDefault="00012117">
    <w:pPr>
      <w:pStyle w:val="a5"/>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QnBg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ZqnB5cPACXOsaKNAs9TKTUlR6t0O7a&#10;nufOFCfQdKabE2/5pkYpW+bDPXMYDJSP1Ql3+JTSIKXpLUoq477+6z7Go1/wUtJg0HKqsVeUyA8a&#10;fQRgGAw3GLvB0Ad1azC5E6yk5cnEAxfkYJbOqC/Yp1XMARfTHJlyGgbzNnTDjn3kYrVKQQfr6n3V&#10;PcAUWha2+sHymCZK5e3qECBtUjwK1KmCTsUD5jD1rN+ZOOh/nlPU0//E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FCcGDgCAABvBAAADgAAAAAAAAABACAAAAAfAQAAZHJzL2Uyb0RvYy54&#10;bWxQSwUGAAAAAAYABgBZAQAAyQUAAAAA&#10;" filled="f" stroked="f" strokeweight=".5pt">
          <v:textbox style="mso-next-textbox:#文本框 5;mso-fit-shape-to-text:t" inset="0,0,0,0">
            <w:txbxContent>
              <w:p w:rsidR="009373D0" w:rsidRDefault="00012117">
                <w:pPr>
                  <w:pStyle w:val="a5"/>
                </w:pPr>
                <w:r>
                  <w:fldChar w:fldCharType="begin"/>
                </w:r>
                <w:r w:rsidR="0071238A">
                  <w:instrText xml:space="preserve"> PAGE  \* MERGEFORMAT </w:instrText>
                </w:r>
                <w:r>
                  <w:fldChar w:fldCharType="separate"/>
                </w:r>
                <w:r w:rsidR="007C08B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4AF" w:rsidRDefault="00D244AF" w:rsidP="009373D0">
      <w:r>
        <w:separator/>
      </w:r>
    </w:p>
  </w:footnote>
  <w:footnote w:type="continuationSeparator" w:id="1">
    <w:p w:rsidR="00D244AF" w:rsidRDefault="00D244AF" w:rsidP="00937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0" w:rsidRDefault="001D10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D0" w:rsidRDefault="009373D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0" w:rsidRDefault="001D10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A3NjljNjM4Y2U1YzhmODQ5MWM2Njc1YjVmNjgyNTQifQ=="/>
  </w:docVars>
  <w:rsids>
    <w:rsidRoot w:val="00F1361C"/>
    <w:rsid w:val="00012117"/>
    <w:rsid w:val="00021EA1"/>
    <w:rsid w:val="000222C6"/>
    <w:rsid w:val="0002549F"/>
    <w:rsid w:val="00025534"/>
    <w:rsid w:val="00044A20"/>
    <w:rsid w:val="000468DB"/>
    <w:rsid w:val="00047AAA"/>
    <w:rsid w:val="0006487A"/>
    <w:rsid w:val="00065F8F"/>
    <w:rsid w:val="00070A43"/>
    <w:rsid w:val="000761B5"/>
    <w:rsid w:val="000768F2"/>
    <w:rsid w:val="0009184B"/>
    <w:rsid w:val="00094236"/>
    <w:rsid w:val="0009593C"/>
    <w:rsid w:val="00097322"/>
    <w:rsid w:val="000A6A92"/>
    <w:rsid w:val="000B047F"/>
    <w:rsid w:val="000B3035"/>
    <w:rsid w:val="000B5923"/>
    <w:rsid w:val="000B5A48"/>
    <w:rsid w:val="000B6FF3"/>
    <w:rsid w:val="000C3467"/>
    <w:rsid w:val="000C3CA6"/>
    <w:rsid w:val="000D1267"/>
    <w:rsid w:val="000D12EF"/>
    <w:rsid w:val="000D1D50"/>
    <w:rsid w:val="000D376E"/>
    <w:rsid w:val="000D3EB3"/>
    <w:rsid w:val="000D4A89"/>
    <w:rsid w:val="000D5782"/>
    <w:rsid w:val="000E6613"/>
    <w:rsid w:val="000E7119"/>
    <w:rsid w:val="001123B5"/>
    <w:rsid w:val="00114E9B"/>
    <w:rsid w:val="00141FCC"/>
    <w:rsid w:val="00142216"/>
    <w:rsid w:val="0014262A"/>
    <w:rsid w:val="00144D6A"/>
    <w:rsid w:val="0014729F"/>
    <w:rsid w:val="001525E3"/>
    <w:rsid w:val="00157BAB"/>
    <w:rsid w:val="00157E3A"/>
    <w:rsid w:val="001654D1"/>
    <w:rsid w:val="00174518"/>
    <w:rsid w:val="0018106D"/>
    <w:rsid w:val="001877A7"/>
    <w:rsid w:val="00191536"/>
    <w:rsid w:val="00196687"/>
    <w:rsid w:val="001A16D3"/>
    <w:rsid w:val="001C0962"/>
    <w:rsid w:val="001D1050"/>
    <w:rsid w:val="001D276F"/>
    <w:rsid w:val="001D7531"/>
    <w:rsid w:val="001E737D"/>
    <w:rsid w:val="001F0592"/>
    <w:rsid w:val="001F5F96"/>
    <w:rsid w:val="001F7506"/>
    <w:rsid w:val="002006CD"/>
    <w:rsid w:val="00202B36"/>
    <w:rsid w:val="00204B7A"/>
    <w:rsid w:val="00204CDE"/>
    <w:rsid w:val="0021101A"/>
    <w:rsid w:val="00220536"/>
    <w:rsid w:val="00223282"/>
    <w:rsid w:val="00235629"/>
    <w:rsid w:val="0023605C"/>
    <w:rsid w:val="00253C4E"/>
    <w:rsid w:val="00260C38"/>
    <w:rsid w:val="002616C0"/>
    <w:rsid w:val="00263130"/>
    <w:rsid w:val="00265372"/>
    <w:rsid w:val="002662AA"/>
    <w:rsid w:val="002755CE"/>
    <w:rsid w:val="002756E0"/>
    <w:rsid w:val="00275B20"/>
    <w:rsid w:val="00280496"/>
    <w:rsid w:val="00294DC9"/>
    <w:rsid w:val="00295495"/>
    <w:rsid w:val="002A31DE"/>
    <w:rsid w:val="002B2613"/>
    <w:rsid w:val="002B33A4"/>
    <w:rsid w:val="002B63AB"/>
    <w:rsid w:val="002D6D05"/>
    <w:rsid w:val="002E74BC"/>
    <w:rsid w:val="002F1818"/>
    <w:rsid w:val="002F567B"/>
    <w:rsid w:val="003055D4"/>
    <w:rsid w:val="003216A9"/>
    <w:rsid w:val="00321C35"/>
    <w:rsid w:val="00335A74"/>
    <w:rsid w:val="00345F38"/>
    <w:rsid w:val="0036561B"/>
    <w:rsid w:val="0037013F"/>
    <w:rsid w:val="00380C92"/>
    <w:rsid w:val="0038143E"/>
    <w:rsid w:val="003A484F"/>
    <w:rsid w:val="003A4883"/>
    <w:rsid w:val="003B0BE0"/>
    <w:rsid w:val="003B0C1B"/>
    <w:rsid w:val="003B688C"/>
    <w:rsid w:val="003B6DEA"/>
    <w:rsid w:val="003B7D2C"/>
    <w:rsid w:val="003B7F0B"/>
    <w:rsid w:val="003C0291"/>
    <w:rsid w:val="003C094D"/>
    <w:rsid w:val="003C3388"/>
    <w:rsid w:val="003C39AE"/>
    <w:rsid w:val="003C7B60"/>
    <w:rsid w:val="003D0C0F"/>
    <w:rsid w:val="003D1FB2"/>
    <w:rsid w:val="003D66DA"/>
    <w:rsid w:val="003E1310"/>
    <w:rsid w:val="003E6F55"/>
    <w:rsid w:val="00404082"/>
    <w:rsid w:val="00405F0A"/>
    <w:rsid w:val="00406254"/>
    <w:rsid w:val="004223DE"/>
    <w:rsid w:val="00423262"/>
    <w:rsid w:val="00430FF5"/>
    <w:rsid w:val="00434489"/>
    <w:rsid w:val="00437085"/>
    <w:rsid w:val="00441B7F"/>
    <w:rsid w:val="00443880"/>
    <w:rsid w:val="00445331"/>
    <w:rsid w:val="004464F4"/>
    <w:rsid w:val="00451965"/>
    <w:rsid w:val="00471401"/>
    <w:rsid w:val="00473F31"/>
    <w:rsid w:val="0048263A"/>
    <w:rsid w:val="00482B92"/>
    <w:rsid w:val="00487E5D"/>
    <w:rsid w:val="004A4D92"/>
    <w:rsid w:val="004A711F"/>
    <w:rsid w:val="004B199D"/>
    <w:rsid w:val="004B4690"/>
    <w:rsid w:val="004B54ED"/>
    <w:rsid w:val="004C0101"/>
    <w:rsid w:val="004C702D"/>
    <w:rsid w:val="004E0A2D"/>
    <w:rsid w:val="004E1485"/>
    <w:rsid w:val="004E206B"/>
    <w:rsid w:val="004E6DF7"/>
    <w:rsid w:val="004F0FBD"/>
    <w:rsid w:val="00505A47"/>
    <w:rsid w:val="00511F52"/>
    <w:rsid w:val="00512FDA"/>
    <w:rsid w:val="00520DA0"/>
    <w:rsid w:val="00521B0F"/>
    <w:rsid w:val="005664BB"/>
    <w:rsid w:val="00566FFA"/>
    <w:rsid w:val="00567B18"/>
    <w:rsid w:val="005727F5"/>
    <w:rsid w:val="0057481D"/>
    <w:rsid w:val="0058486E"/>
    <w:rsid w:val="00585B33"/>
    <w:rsid w:val="0059014D"/>
    <w:rsid w:val="005B5C64"/>
    <w:rsid w:val="005C34C1"/>
    <w:rsid w:val="005C5337"/>
    <w:rsid w:val="005C6BD0"/>
    <w:rsid w:val="005D1C8B"/>
    <w:rsid w:val="005D468D"/>
    <w:rsid w:val="005D5CED"/>
    <w:rsid w:val="005E4284"/>
    <w:rsid w:val="005E5CA7"/>
    <w:rsid w:val="005F07D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FB8"/>
    <w:rsid w:val="00652269"/>
    <w:rsid w:val="00661D48"/>
    <w:rsid w:val="0066343B"/>
    <w:rsid w:val="00664777"/>
    <w:rsid w:val="006748A4"/>
    <w:rsid w:val="00681A31"/>
    <w:rsid w:val="00683E73"/>
    <w:rsid w:val="0069048F"/>
    <w:rsid w:val="006A3141"/>
    <w:rsid w:val="006A5E34"/>
    <w:rsid w:val="006A7DF0"/>
    <w:rsid w:val="006B2422"/>
    <w:rsid w:val="006B2B9A"/>
    <w:rsid w:val="006B320A"/>
    <w:rsid w:val="006C1937"/>
    <w:rsid w:val="006D2FD1"/>
    <w:rsid w:val="006D7197"/>
    <w:rsid w:val="006D76B5"/>
    <w:rsid w:val="006F020C"/>
    <w:rsid w:val="0071015C"/>
    <w:rsid w:val="00710893"/>
    <w:rsid w:val="0071238A"/>
    <w:rsid w:val="007127B7"/>
    <w:rsid w:val="00714190"/>
    <w:rsid w:val="0071798E"/>
    <w:rsid w:val="0073643A"/>
    <w:rsid w:val="007416B6"/>
    <w:rsid w:val="00743302"/>
    <w:rsid w:val="00746F48"/>
    <w:rsid w:val="00752E4B"/>
    <w:rsid w:val="00753FD7"/>
    <w:rsid w:val="0075404D"/>
    <w:rsid w:val="0076182A"/>
    <w:rsid w:val="00767B7E"/>
    <w:rsid w:val="007770C3"/>
    <w:rsid w:val="00784D24"/>
    <w:rsid w:val="00785FBA"/>
    <w:rsid w:val="00786E4A"/>
    <w:rsid w:val="007875EB"/>
    <w:rsid w:val="0079426B"/>
    <w:rsid w:val="007A4A60"/>
    <w:rsid w:val="007C08BA"/>
    <w:rsid w:val="007C55D8"/>
    <w:rsid w:val="007D1682"/>
    <w:rsid w:val="007D312A"/>
    <w:rsid w:val="007D3F19"/>
    <w:rsid w:val="007E23B0"/>
    <w:rsid w:val="007E23E5"/>
    <w:rsid w:val="007F1991"/>
    <w:rsid w:val="007F2C2F"/>
    <w:rsid w:val="007F55FC"/>
    <w:rsid w:val="007F5665"/>
    <w:rsid w:val="00800112"/>
    <w:rsid w:val="00813348"/>
    <w:rsid w:val="00821344"/>
    <w:rsid w:val="008253BB"/>
    <w:rsid w:val="008360C4"/>
    <w:rsid w:val="0083706E"/>
    <w:rsid w:val="008408F6"/>
    <w:rsid w:val="008423A5"/>
    <w:rsid w:val="00850625"/>
    <w:rsid w:val="00853718"/>
    <w:rsid w:val="00855221"/>
    <w:rsid w:val="00860645"/>
    <w:rsid w:val="00862AC0"/>
    <w:rsid w:val="00864AD4"/>
    <w:rsid w:val="00870FB2"/>
    <w:rsid w:val="00871F71"/>
    <w:rsid w:val="00872FD8"/>
    <w:rsid w:val="00880729"/>
    <w:rsid w:val="00880C98"/>
    <w:rsid w:val="00884C61"/>
    <w:rsid w:val="00885AF4"/>
    <w:rsid w:val="00886DFA"/>
    <w:rsid w:val="008939CD"/>
    <w:rsid w:val="008A21A1"/>
    <w:rsid w:val="008B768C"/>
    <w:rsid w:val="008C4DB1"/>
    <w:rsid w:val="008C4EAF"/>
    <w:rsid w:val="008C5176"/>
    <w:rsid w:val="008C7FD0"/>
    <w:rsid w:val="008D4D03"/>
    <w:rsid w:val="008D533F"/>
    <w:rsid w:val="008E1DE7"/>
    <w:rsid w:val="008E707C"/>
    <w:rsid w:val="00900B08"/>
    <w:rsid w:val="00902155"/>
    <w:rsid w:val="00902FA3"/>
    <w:rsid w:val="00912400"/>
    <w:rsid w:val="0091701B"/>
    <w:rsid w:val="00923564"/>
    <w:rsid w:val="0092392E"/>
    <w:rsid w:val="009315F9"/>
    <w:rsid w:val="00933499"/>
    <w:rsid w:val="00935C98"/>
    <w:rsid w:val="009373D0"/>
    <w:rsid w:val="0094601A"/>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66E7"/>
    <w:rsid w:val="009D02F0"/>
    <w:rsid w:val="009D3447"/>
    <w:rsid w:val="009D4711"/>
    <w:rsid w:val="009D4B49"/>
    <w:rsid w:val="009E4033"/>
    <w:rsid w:val="009F1185"/>
    <w:rsid w:val="009F18CD"/>
    <w:rsid w:val="009F2A13"/>
    <w:rsid w:val="009F7527"/>
    <w:rsid w:val="00A04EB0"/>
    <w:rsid w:val="00A1298F"/>
    <w:rsid w:val="00A13CC1"/>
    <w:rsid w:val="00A16847"/>
    <w:rsid w:val="00A2122D"/>
    <w:rsid w:val="00A237D8"/>
    <w:rsid w:val="00A268C4"/>
    <w:rsid w:val="00A307CD"/>
    <w:rsid w:val="00A331C8"/>
    <w:rsid w:val="00A40A00"/>
    <w:rsid w:val="00A4142F"/>
    <w:rsid w:val="00A422EB"/>
    <w:rsid w:val="00A45BB7"/>
    <w:rsid w:val="00A463E2"/>
    <w:rsid w:val="00A56DF2"/>
    <w:rsid w:val="00A56E6E"/>
    <w:rsid w:val="00A57E7E"/>
    <w:rsid w:val="00A67AB5"/>
    <w:rsid w:val="00A733B2"/>
    <w:rsid w:val="00A741C2"/>
    <w:rsid w:val="00A8038A"/>
    <w:rsid w:val="00A803C7"/>
    <w:rsid w:val="00A91760"/>
    <w:rsid w:val="00A93B00"/>
    <w:rsid w:val="00A93C21"/>
    <w:rsid w:val="00AA40BC"/>
    <w:rsid w:val="00AB044C"/>
    <w:rsid w:val="00AB64C9"/>
    <w:rsid w:val="00AC3C6A"/>
    <w:rsid w:val="00AC50F8"/>
    <w:rsid w:val="00AC5E3A"/>
    <w:rsid w:val="00AD2BDB"/>
    <w:rsid w:val="00AD5620"/>
    <w:rsid w:val="00AD656B"/>
    <w:rsid w:val="00AD686C"/>
    <w:rsid w:val="00AD7C1B"/>
    <w:rsid w:val="00AE16BA"/>
    <w:rsid w:val="00AE1EBE"/>
    <w:rsid w:val="00AE7D37"/>
    <w:rsid w:val="00AF4392"/>
    <w:rsid w:val="00B03C9D"/>
    <w:rsid w:val="00B04FFF"/>
    <w:rsid w:val="00B060AE"/>
    <w:rsid w:val="00B06945"/>
    <w:rsid w:val="00B10517"/>
    <w:rsid w:val="00B13013"/>
    <w:rsid w:val="00B14E76"/>
    <w:rsid w:val="00B161B8"/>
    <w:rsid w:val="00B2048C"/>
    <w:rsid w:val="00B310B9"/>
    <w:rsid w:val="00B35F3F"/>
    <w:rsid w:val="00B36CBB"/>
    <w:rsid w:val="00B425E0"/>
    <w:rsid w:val="00B440AA"/>
    <w:rsid w:val="00B44B70"/>
    <w:rsid w:val="00B53B15"/>
    <w:rsid w:val="00B53C56"/>
    <w:rsid w:val="00B57DAF"/>
    <w:rsid w:val="00B6332B"/>
    <w:rsid w:val="00B6617C"/>
    <w:rsid w:val="00B77EA6"/>
    <w:rsid w:val="00B81145"/>
    <w:rsid w:val="00B81598"/>
    <w:rsid w:val="00B841F1"/>
    <w:rsid w:val="00B9024E"/>
    <w:rsid w:val="00B944D6"/>
    <w:rsid w:val="00BB4DF0"/>
    <w:rsid w:val="00BB7EE6"/>
    <w:rsid w:val="00BC289F"/>
    <w:rsid w:val="00BC2D50"/>
    <w:rsid w:val="00BC5361"/>
    <w:rsid w:val="00BC5460"/>
    <w:rsid w:val="00BC6B50"/>
    <w:rsid w:val="00BD0E25"/>
    <w:rsid w:val="00BE3FAB"/>
    <w:rsid w:val="00BE7E19"/>
    <w:rsid w:val="00BF4B2E"/>
    <w:rsid w:val="00BF5BD6"/>
    <w:rsid w:val="00C03E31"/>
    <w:rsid w:val="00C0704A"/>
    <w:rsid w:val="00C25F94"/>
    <w:rsid w:val="00C33E72"/>
    <w:rsid w:val="00C354B2"/>
    <w:rsid w:val="00C35554"/>
    <w:rsid w:val="00C42709"/>
    <w:rsid w:val="00C533CC"/>
    <w:rsid w:val="00C5751C"/>
    <w:rsid w:val="00C61BFC"/>
    <w:rsid w:val="00C62B85"/>
    <w:rsid w:val="00C65438"/>
    <w:rsid w:val="00C82214"/>
    <w:rsid w:val="00C86804"/>
    <w:rsid w:val="00C87FD8"/>
    <w:rsid w:val="00C91381"/>
    <w:rsid w:val="00C91CBB"/>
    <w:rsid w:val="00CA7B8F"/>
    <w:rsid w:val="00CB11D9"/>
    <w:rsid w:val="00CB4E70"/>
    <w:rsid w:val="00CB588A"/>
    <w:rsid w:val="00CC09B6"/>
    <w:rsid w:val="00CC666F"/>
    <w:rsid w:val="00CD1E3F"/>
    <w:rsid w:val="00CD6F35"/>
    <w:rsid w:val="00CE44F6"/>
    <w:rsid w:val="00CE49DA"/>
    <w:rsid w:val="00CE7B61"/>
    <w:rsid w:val="00CF23F9"/>
    <w:rsid w:val="00D00095"/>
    <w:rsid w:val="00D05B05"/>
    <w:rsid w:val="00D061BF"/>
    <w:rsid w:val="00D114F0"/>
    <w:rsid w:val="00D13D83"/>
    <w:rsid w:val="00D20620"/>
    <w:rsid w:val="00D244AF"/>
    <w:rsid w:val="00D254F7"/>
    <w:rsid w:val="00D26091"/>
    <w:rsid w:val="00D2685C"/>
    <w:rsid w:val="00D31FC8"/>
    <w:rsid w:val="00D34E7C"/>
    <w:rsid w:val="00D35489"/>
    <w:rsid w:val="00D36AFE"/>
    <w:rsid w:val="00D41B24"/>
    <w:rsid w:val="00D51276"/>
    <w:rsid w:val="00D55E3D"/>
    <w:rsid w:val="00D7035F"/>
    <w:rsid w:val="00DA2DAE"/>
    <w:rsid w:val="00DA3746"/>
    <w:rsid w:val="00DA4660"/>
    <w:rsid w:val="00DA634F"/>
    <w:rsid w:val="00DA65AC"/>
    <w:rsid w:val="00DB1913"/>
    <w:rsid w:val="00DB404E"/>
    <w:rsid w:val="00DC410D"/>
    <w:rsid w:val="00DC5A81"/>
    <w:rsid w:val="00DC68CA"/>
    <w:rsid w:val="00DC7CBA"/>
    <w:rsid w:val="00DD512D"/>
    <w:rsid w:val="00DD73B7"/>
    <w:rsid w:val="00DF28BC"/>
    <w:rsid w:val="00DF34B9"/>
    <w:rsid w:val="00E01053"/>
    <w:rsid w:val="00E07ACF"/>
    <w:rsid w:val="00E16F8E"/>
    <w:rsid w:val="00E331A1"/>
    <w:rsid w:val="00E33202"/>
    <w:rsid w:val="00E336A9"/>
    <w:rsid w:val="00E472B1"/>
    <w:rsid w:val="00E50624"/>
    <w:rsid w:val="00E568DF"/>
    <w:rsid w:val="00E64269"/>
    <w:rsid w:val="00E82267"/>
    <w:rsid w:val="00E847B3"/>
    <w:rsid w:val="00E853CE"/>
    <w:rsid w:val="00E867B6"/>
    <w:rsid w:val="00EA010F"/>
    <w:rsid w:val="00EC15BE"/>
    <w:rsid w:val="00ED1B63"/>
    <w:rsid w:val="00ED3C1F"/>
    <w:rsid w:val="00ED4085"/>
    <w:rsid w:val="00ED420E"/>
    <w:rsid w:val="00ED6FBE"/>
    <w:rsid w:val="00EE1E8C"/>
    <w:rsid w:val="00EE2F57"/>
    <w:rsid w:val="00EF4C34"/>
    <w:rsid w:val="00EF77C6"/>
    <w:rsid w:val="00F03AD2"/>
    <w:rsid w:val="00F05438"/>
    <w:rsid w:val="00F065AB"/>
    <w:rsid w:val="00F1361C"/>
    <w:rsid w:val="00F156F0"/>
    <w:rsid w:val="00F160C7"/>
    <w:rsid w:val="00F2408F"/>
    <w:rsid w:val="00F240E9"/>
    <w:rsid w:val="00F36D8F"/>
    <w:rsid w:val="00F417B1"/>
    <w:rsid w:val="00F420D6"/>
    <w:rsid w:val="00F45853"/>
    <w:rsid w:val="00F52A34"/>
    <w:rsid w:val="00F602DF"/>
    <w:rsid w:val="00F754A1"/>
    <w:rsid w:val="00F81FD9"/>
    <w:rsid w:val="00F841AA"/>
    <w:rsid w:val="00F841B6"/>
    <w:rsid w:val="00F84A94"/>
    <w:rsid w:val="00F87E96"/>
    <w:rsid w:val="00FA009C"/>
    <w:rsid w:val="00FA23E8"/>
    <w:rsid w:val="00FB68CC"/>
    <w:rsid w:val="00FC66A9"/>
    <w:rsid w:val="00FC6A34"/>
    <w:rsid w:val="00FD3CC1"/>
    <w:rsid w:val="00FF1E02"/>
    <w:rsid w:val="00FF30B4"/>
    <w:rsid w:val="04AE239C"/>
    <w:rsid w:val="07C80CF8"/>
    <w:rsid w:val="0A2032A3"/>
    <w:rsid w:val="0F4F1A2F"/>
    <w:rsid w:val="10C055FF"/>
    <w:rsid w:val="118107EC"/>
    <w:rsid w:val="16BB723D"/>
    <w:rsid w:val="18015F3F"/>
    <w:rsid w:val="1BE8440E"/>
    <w:rsid w:val="1D155CEE"/>
    <w:rsid w:val="1E6A6A32"/>
    <w:rsid w:val="1E935967"/>
    <w:rsid w:val="1F4F699D"/>
    <w:rsid w:val="20F57F95"/>
    <w:rsid w:val="240371BF"/>
    <w:rsid w:val="27842671"/>
    <w:rsid w:val="2928397E"/>
    <w:rsid w:val="29FD04D3"/>
    <w:rsid w:val="2ABE7A3E"/>
    <w:rsid w:val="319F7F4E"/>
    <w:rsid w:val="341024A0"/>
    <w:rsid w:val="3C0C0783"/>
    <w:rsid w:val="493C27E9"/>
    <w:rsid w:val="496F39ED"/>
    <w:rsid w:val="49FF41D3"/>
    <w:rsid w:val="4BE068DB"/>
    <w:rsid w:val="4BF6002B"/>
    <w:rsid w:val="4ECE2238"/>
    <w:rsid w:val="64CA39A1"/>
    <w:rsid w:val="65406499"/>
    <w:rsid w:val="6C4A05C8"/>
    <w:rsid w:val="72734D90"/>
    <w:rsid w:val="79D3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9373D0"/>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uiPriority w:val="9"/>
    <w:qFormat/>
    <w:rsid w:val="009373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73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73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9373D0"/>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9373D0"/>
    <w:pPr>
      <w:spacing w:beforeLines="30"/>
    </w:pPr>
    <w:rPr>
      <w:rFonts w:ascii="仿宋_GB2312" w:eastAsia="仿宋_GB2312"/>
      <w:kern w:val="0"/>
      <w:sz w:val="30"/>
    </w:rPr>
  </w:style>
  <w:style w:type="paragraph" w:styleId="30">
    <w:name w:val="toc 3"/>
    <w:basedOn w:val="a"/>
    <w:next w:val="a"/>
    <w:uiPriority w:val="39"/>
    <w:unhideWhenUsed/>
    <w:qFormat/>
    <w:rsid w:val="009373D0"/>
    <w:pPr>
      <w:tabs>
        <w:tab w:val="right" w:leader="dot" w:pos="8296"/>
      </w:tabs>
      <w:ind w:leftChars="400" w:left="840"/>
    </w:pPr>
  </w:style>
  <w:style w:type="paragraph" w:styleId="a4">
    <w:name w:val="Balloon Text"/>
    <w:basedOn w:val="a"/>
    <w:link w:val="Char0"/>
    <w:uiPriority w:val="99"/>
    <w:semiHidden/>
    <w:unhideWhenUsed/>
    <w:qFormat/>
    <w:rsid w:val="009373D0"/>
    <w:rPr>
      <w:sz w:val="18"/>
      <w:szCs w:val="18"/>
    </w:rPr>
  </w:style>
  <w:style w:type="paragraph" w:styleId="a5">
    <w:name w:val="footer"/>
    <w:basedOn w:val="a"/>
    <w:link w:val="Char1"/>
    <w:qFormat/>
    <w:rsid w:val="009373D0"/>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9373D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373D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373D0"/>
    <w:pPr>
      <w:tabs>
        <w:tab w:val="right" w:leader="dot" w:pos="8296"/>
      </w:tabs>
      <w:ind w:leftChars="200" w:left="420"/>
    </w:pPr>
  </w:style>
  <w:style w:type="paragraph" w:styleId="a7">
    <w:name w:val="Normal (Web)"/>
    <w:basedOn w:val="a"/>
    <w:qFormat/>
    <w:rsid w:val="009373D0"/>
    <w:pPr>
      <w:jc w:val="left"/>
    </w:pPr>
    <w:rPr>
      <w:kern w:val="0"/>
      <w:sz w:val="24"/>
    </w:rPr>
  </w:style>
  <w:style w:type="table" w:styleId="a8">
    <w:name w:val="Table Grid"/>
    <w:basedOn w:val="a1"/>
    <w:uiPriority w:val="59"/>
    <w:qFormat/>
    <w:rsid w:val="009373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99"/>
    <w:qFormat/>
    <w:rsid w:val="009373D0"/>
    <w:rPr>
      <w:b/>
    </w:rPr>
  </w:style>
  <w:style w:type="character" w:styleId="aa">
    <w:name w:val="Hyperlink"/>
    <w:basedOn w:val="a0"/>
    <w:uiPriority w:val="99"/>
    <w:unhideWhenUsed/>
    <w:qFormat/>
    <w:rsid w:val="009373D0"/>
    <w:rPr>
      <w:color w:val="0000FF" w:themeColor="hyperlink"/>
      <w:u w:val="single"/>
    </w:rPr>
  </w:style>
  <w:style w:type="character" w:customStyle="1" w:styleId="HeaderChar">
    <w:name w:val="Header Char"/>
    <w:basedOn w:val="a0"/>
    <w:uiPriority w:val="99"/>
    <w:semiHidden/>
    <w:qFormat/>
    <w:rsid w:val="009373D0"/>
    <w:rPr>
      <w:rFonts w:ascii="Times New Roman" w:hAnsi="Times New Roman"/>
      <w:sz w:val="18"/>
      <w:szCs w:val="18"/>
    </w:rPr>
  </w:style>
  <w:style w:type="character" w:customStyle="1" w:styleId="Char2">
    <w:name w:val="页眉 Char"/>
    <w:link w:val="a6"/>
    <w:qFormat/>
    <w:locked/>
    <w:rsid w:val="009373D0"/>
    <w:rPr>
      <w:sz w:val="18"/>
    </w:rPr>
  </w:style>
  <w:style w:type="character" w:customStyle="1" w:styleId="FooterChar">
    <w:name w:val="Footer Char"/>
    <w:basedOn w:val="a0"/>
    <w:uiPriority w:val="99"/>
    <w:semiHidden/>
    <w:qFormat/>
    <w:rsid w:val="009373D0"/>
    <w:rPr>
      <w:rFonts w:ascii="Times New Roman" w:hAnsi="Times New Roman"/>
      <w:sz w:val="18"/>
      <w:szCs w:val="18"/>
    </w:rPr>
  </w:style>
  <w:style w:type="character" w:customStyle="1" w:styleId="Char1">
    <w:name w:val="页脚 Char"/>
    <w:link w:val="a5"/>
    <w:qFormat/>
    <w:locked/>
    <w:rsid w:val="009373D0"/>
    <w:rPr>
      <w:sz w:val="18"/>
    </w:rPr>
  </w:style>
  <w:style w:type="character" w:customStyle="1" w:styleId="BodyTextChar">
    <w:name w:val="Body Text Char"/>
    <w:basedOn w:val="a0"/>
    <w:uiPriority w:val="99"/>
    <w:semiHidden/>
    <w:qFormat/>
    <w:rsid w:val="009373D0"/>
    <w:rPr>
      <w:rFonts w:ascii="Times New Roman" w:hAnsi="Times New Roman"/>
      <w:szCs w:val="24"/>
    </w:rPr>
  </w:style>
  <w:style w:type="character" w:customStyle="1" w:styleId="Char">
    <w:name w:val="正文文本 Char"/>
    <w:link w:val="a3"/>
    <w:uiPriority w:val="99"/>
    <w:qFormat/>
    <w:locked/>
    <w:rsid w:val="009373D0"/>
    <w:rPr>
      <w:rFonts w:ascii="仿宋_GB2312" w:eastAsia="仿宋_GB2312" w:hAnsi="Times New Roman"/>
      <w:sz w:val="24"/>
    </w:rPr>
  </w:style>
  <w:style w:type="paragraph" w:customStyle="1" w:styleId="Default">
    <w:name w:val="Default"/>
    <w:uiPriority w:val="99"/>
    <w:qFormat/>
    <w:rsid w:val="009373D0"/>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9373D0"/>
    <w:pPr>
      <w:ind w:firstLineChars="200" w:firstLine="420"/>
    </w:pPr>
  </w:style>
  <w:style w:type="character" w:customStyle="1" w:styleId="1Char">
    <w:name w:val="标题 1 Char"/>
    <w:basedOn w:val="a0"/>
    <w:link w:val="1"/>
    <w:uiPriority w:val="9"/>
    <w:qFormat/>
    <w:rsid w:val="009373D0"/>
    <w:rPr>
      <w:rFonts w:ascii="Times New Roman" w:hAnsi="Times New Roman"/>
      <w:b/>
      <w:bCs/>
      <w:kern w:val="44"/>
      <w:sz w:val="44"/>
      <w:szCs w:val="44"/>
    </w:rPr>
  </w:style>
  <w:style w:type="character" w:customStyle="1" w:styleId="2Char">
    <w:name w:val="标题 2 Char"/>
    <w:basedOn w:val="a0"/>
    <w:link w:val="2"/>
    <w:uiPriority w:val="9"/>
    <w:qFormat/>
    <w:rsid w:val="009373D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373D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373D0"/>
    <w:rPr>
      <w:rFonts w:ascii="Times New Roman" w:hAnsi="Times New Roman"/>
      <w:kern w:val="2"/>
      <w:sz w:val="18"/>
      <w:szCs w:val="18"/>
    </w:rPr>
  </w:style>
  <w:style w:type="character" w:customStyle="1" w:styleId="3Char">
    <w:name w:val="标题 3 Char"/>
    <w:basedOn w:val="a0"/>
    <w:link w:val="3"/>
    <w:uiPriority w:val="9"/>
    <w:qFormat/>
    <w:rsid w:val="009373D0"/>
    <w:rPr>
      <w:rFonts w:ascii="Times New Roman" w:hAnsi="Times New Roman"/>
      <w:b/>
      <w:bCs/>
      <w:kern w:val="2"/>
      <w:sz w:val="32"/>
      <w:szCs w:val="32"/>
    </w:rPr>
  </w:style>
  <w:style w:type="paragraph" w:customStyle="1" w:styleId="TOC2">
    <w:name w:val="TOC 标题2"/>
    <w:basedOn w:val="1"/>
    <w:next w:val="a"/>
    <w:uiPriority w:val="39"/>
    <w:unhideWhenUsed/>
    <w:qFormat/>
    <w:rsid w:val="009373D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qFormat/>
    <w:rsid w:val="009373D0"/>
    <w:rPr>
      <w:rFonts w:ascii="仿宋_GB2312" w:eastAsia="仿宋_GB2312" w:cs="仿宋_GB2312" w:hint="eastAsia"/>
      <w:b/>
      <w:color w:val="000000"/>
      <w:sz w:val="22"/>
      <w:szCs w:val="22"/>
      <w:u w:val="none"/>
    </w:rPr>
  </w:style>
  <w:style w:type="character" w:customStyle="1" w:styleId="font41">
    <w:name w:val="font41"/>
    <w:basedOn w:val="a0"/>
    <w:qFormat/>
    <w:rsid w:val="009373D0"/>
    <w:rPr>
      <w:rFonts w:ascii="Arial" w:hAnsi="Arial" w:cs="Arial"/>
      <w:color w:val="000000"/>
      <w:sz w:val="24"/>
      <w:szCs w:val="24"/>
      <w:u w:val="none"/>
    </w:rPr>
  </w:style>
  <w:style w:type="character" w:customStyle="1" w:styleId="font31">
    <w:name w:val="font31"/>
    <w:basedOn w:val="a0"/>
    <w:qFormat/>
    <w:rsid w:val="009373D0"/>
    <w:rPr>
      <w:rFonts w:ascii="宋体" w:eastAsia="宋体" w:hAnsi="宋体" w:cs="宋体"/>
      <w:b/>
      <w:bCs/>
      <w:color w:val="000000"/>
      <w:sz w:val="36"/>
      <w:szCs w:val="36"/>
      <w:u w:val="none"/>
    </w:rPr>
  </w:style>
  <w:style w:type="character" w:customStyle="1" w:styleId="font51">
    <w:name w:val="font51"/>
    <w:basedOn w:val="a0"/>
    <w:qFormat/>
    <w:rsid w:val="009373D0"/>
    <w:rPr>
      <w:rFonts w:ascii="宋体" w:eastAsia="宋体" w:hAnsi="宋体" w:cs="宋体" w:hint="eastAsia"/>
      <w:b/>
      <w:bCs/>
      <w:color w:val="000000"/>
      <w:sz w:val="36"/>
      <w:szCs w:val="36"/>
      <w:u w:val="none"/>
    </w:rPr>
  </w:style>
  <w:style w:type="character" w:customStyle="1" w:styleId="font21">
    <w:name w:val="font21"/>
    <w:basedOn w:val="a0"/>
    <w:qFormat/>
    <w:rsid w:val="009373D0"/>
    <w:rPr>
      <w:rFonts w:ascii="宋体" w:eastAsia="宋体" w:hAnsi="宋体" w:cs="宋体"/>
      <w:b/>
      <w:bCs/>
      <w:color w:val="000000"/>
      <w:sz w:val="36"/>
      <w:szCs w:val="36"/>
      <w:u w:val="none"/>
    </w:rPr>
  </w:style>
  <w:style w:type="character" w:customStyle="1" w:styleId="font01">
    <w:name w:val="font01"/>
    <w:basedOn w:val="a0"/>
    <w:qFormat/>
    <w:rsid w:val="009373D0"/>
    <w:rPr>
      <w:rFonts w:ascii="宋体" w:eastAsia="宋体" w:hAnsi="宋体" w:cs="宋体"/>
      <w:b/>
      <w:bCs/>
      <w:color w:val="000000"/>
      <w:sz w:val="36"/>
      <w:szCs w:val="36"/>
      <w:u w:val="none"/>
    </w:rPr>
  </w:style>
  <w:style w:type="character" w:customStyle="1" w:styleId="font61">
    <w:name w:val="font61"/>
    <w:basedOn w:val="a0"/>
    <w:qFormat/>
    <w:rsid w:val="009373D0"/>
    <w:rPr>
      <w:rFonts w:ascii="宋体" w:eastAsia="宋体" w:hAnsi="宋体" w:cs="宋体" w:hint="eastAsia"/>
      <w:b/>
      <w:bCs/>
      <w:color w:val="000000"/>
      <w:sz w:val="36"/>
      <w:szCs w:val="36"/>
      <w:u w:val="none"/>
    </w:rPr>
  </w:style>
  <w:style w:type="character" w:customStyle="1" w:styleId="1Char1">
    <w:name w:val="标题 1 Char1"/>
    <w:basedOn w:val="a0"/>
    <w:link w:val="1"/>
    <w:uiPriority w:val="9"/>
    <w:qFormat/>
    <w:rsid w:val="009373D0"/>
    <w:rPr>
      <w:rFonts w:ascii="Times New Roman" w:hAnsi="Times New Roman"/>
      <w:b/>
      <w:bCs/>
      <w:kern w:val="44"/>
      <w:sz w:val="44"/>
      <w:szCs w:val="44"/>
    </w:rPr>
  </w:style>
  <w:style w:type="paragraph" w:customStyle="1" w:styleId="WPSOffice1">
    <w:name w:val="WPSOffice手动目录 1"/>
    <w:rsid w:val="009373D0"/>
  </w:style>
  <w:style w:type="paragraph" w:customStyle="1" w:styleId="WPSOffice2">
    <w:name w:val="WPSOffice手动目录 2"/>
    <w:rsid w:val="009373D0"/>
    <w:pPr>
      <w:ind w:leftChars="200" w:left="200"/>
    </w:pPr>
  </w:style>
  <w:style w:type="paragraph" w:customStyle="1" w:styleId="WPSOffice3">
    <w:name w:val="WPSOffice手动目录 3"/>
    <w:rsid w:val="009373D0"/>
    <w:pPr>
      <w:ind w:leftChars="400" w:left="400"/>
    </w:pPr>
  </w:style>
  <w:style w:type="paragraph" w:styleId="TOC">
    <w:name w:val="TOC Heading"/>
    <w:basedOn w:val="1"/>
    <w:next w:val="a"/>
    <w:uiPriority w:val="39"/>
    <w:semiHidden/>
    <w:unhideWhenUsed/>
    <w:qFormat/>
    <w:rsid w:val="00DB404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图表目录1"/>
    <w:basedOn w:val="a"/>
    <w:next w:val="a"/>
    <w:autoRedefine/>
    <w:qFormat/>
    <w:rsid w:val="004C0101"/>
    <w:pPr>
      <w:spacing w:line="600" w:lineRule="exact"/>
      <w:ind w:leftChars="200" w:left="200" w:hangingChars="200" w:hanging="200"/>
    </w:pPr>
    <w:rPr>
      <w:rFonts w:eastAsia="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总收入支出</a:t>
            </a:r>
          </a:p>
        </c:rich>
      </c:tx>
    </c:title>
    <c:plotArea>
      <c:layout/>
      <c:barChart>
        <c:barDir val="col"/>
        <c:grouping val="clustered"/>
        <c:ser>
          <c:idx val="0"/>
          <c:order val="0"/>
          <c:tx>
            <c:strRef>
              <c:f>Sheet1!$B$1</c:f>
              <c:strCache>
                <c:ptCount val="1"/>
                <c:pt idx="0">
                  <c:v>2022年</c:v>
                </c:pt>
              </c:strCache>
            </c:strRef>
          </c:tx>
          <c:cat>
            <c:strRef>
              <c:f>Sheet1!$A$2:$A$3</c:f>
              <c:strCache>
                <c:ptCount val="2"/>
                <c:pt idx="0">
                  <c:v>收入</c:v>
                </c:pt>
                <c:pt idx="1">
                  <c:v>支出</c:v>
                </c:pt>
              </c:strCache>
            </c:strRef>
          </c:cat>
          <c:val>
            <c:numRef>
              <c:f>Sheet1!$B$2:$B$3</c:f>
              <c:numCache>
                <c:formatCode>#,##0.00</c:formatCode>
                <c:ptCount val="2"/>
                <c:pt idx="0">
                  <c:v>58494.340000000011</c:v>
                </c:pt>
                <c:pt idx="1">
                  <c:v>62553.05</c:v>
                </c:pt>
              </c:numCache>
            </c:numRef>
          </c:val>
        </c:ser>
        <c:ser>
          <c:idx val="1"/>
          <c:order val="1"/>
          <c:tx>
            <c:strRef>
              <c:f>Sheet1!$C$1</c:f>
              <c:strCache>
                <c:ptCount val="1"/>
                <c:pt idx="0">
                  <c:v>2023年</c:v>
                </c:pt>
              </c:strCache>
            </c:strRef>
          </c:tx>
          <c:cat>
            <c:strRef>
              <c:f>Sheet1!$A$2:$A$3</c:f>
              <c:strCache>
                <c:ptCount val="2"/>
                <c:pt idx="0">
                  <c:v>收入</c:v>
                </c:pt>
                <c:pt idx="1">
                  <c:v>支出</c:v>
                </c:pt>
              </c:strCache>
            </c:strRef>
          </c:cat>
          <c:val>
            <c:numRef>
              <c:f>Sheet1!$C$2:$C$3</c:f>
              <c:numCache>
                <c:formatCode>#,##0.00</c:formatCode>
                <c:ptCount val="2"/>
                <c:pt idx="0">
                  <c:v>64569.17</c:v>
                </c:pt>
                <c:pt idx="1">
                  <c:v>73299.23</c:v>
                </c:pt>
              </c:numCache>
            </c:numRef>
          </c:val>
        </c:ser>
        <c:axId val="62347520"/>
        <c:axId val="62349312"/>
      </c:barChart>
      <c:catAx>
        <c:axId val="623475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2349312"/>
        <c:crosses val="autoZero"/>
        <c:auto val="1"/>
        <c:lblAlgn val="ctr"/>
        <c:lblOffset val="100"/>
      </c:catAx>
      <c:valAx>
        <c:axId val="62349312"/>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234752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总收入</c:v>
                </c:pt>
              </c:strCache>
            </c:strRef>
          </c:tx>
          <c:cat>
            <c:strRef>
              <c:f>Sheet1!$A$2:$A$4</c:f>
              <c:strCache>
                <c:ptCount val="3"/>
                <c:pt idx="0">
                  <c:v>一般公共预算财政拨款</c:v>
                </c:pt>
                <c:pt idx="1">
                  <c:v>事业收入</c:v>
                </c:pt>
                <c:pt idx="2">
                  <c:v>其他收入</c:v>
                </c:pt>
              </c:strCache>
            </c:strRef>
          </c:cat>
          <c:val>
            <c:numRef>
              <c:f>Sheet1!$B$2:$B$4</c:f>
              <c:numCache>
                <c:formatCode>#,##0.00</c:formatCode>
                <c:ptCount val="3"/>
                <c:pt idx="0">
                  <c:v>45983.9</c:v>
                </c:pt>
                <c:pt idx="1">
                  <c:v>17207.669999999947</c:v>
                </c:pt>
                <c:pt idx="2">
                  <c:v>1377.6</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总支出</c:v>
                </c:pt>
              </c:strCache>
            </c:strRef>
          </c:tx>
          <c:cat>
            <c:strRef>
              <c:f>Sheet1!$A$2:$A$3</c:f>
              <c:strCache>
                <c:ptCount val="2"/>
                <c:pt idx="0">
                  <c:v>基本支出</c:v>
                </c:pt>
                <c:pt idx="1">
                  <c:v>项目支出</c:v>
                </c:pt>
              </c:strCache>
            </c:strRef>
          </c:cat>
          <c:val>
            <c:numRef>
              <c:f>Sheet1!$B$2:$B$3</c:f>
              <c:numCache>
                <c:formatCode>#,##0.00</c:formatCode>
                <c:ptCount val="2"/>
                <c:pt idx="0">
                  <c:v>53227.98</c:v>
                </c:pt>
                <c:pt idx="1">
                  <c:v>20071.25</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一般公共预算</a:t>
            </a:r>
            <a:r>
              <a:t>财政拨款收入</a:t>
            </a:r>
          </a:p>
        </c:rich>
      </c:tx>
    </c:title>
    <c:plotArea>
      <c:layout/>
      <c:barChart>
        <c:barDir val="col"/>
        <c:grouping val="clustered"/>
        <c:ser>
          <c:idx val="0"/>
          <c:order val="0"/>
          <c:tx>
            <c:strRef>
              <c:f>Sheet1!$B$1</c:f>
              <c:strCache>
                <c:ptCount val="1"/>
                <c:pt idx="0">
                  <c:v>支出</c:v>
                </c:pt>
              </c:strCache>
            </c:strRef>
          </c:tx>
          <c:cat>
            <c:numRef>
              <c:f>Sheet1!$A$2:$A$3</c:f>
              <c:numCache>
                <c:formatCode>General</c:formatCode>
                <c:ptCount val="2"/>
                <c:pt idx="0">
                  <c:v>2022</c:v>
                </c:pt>
                <c:pt idx="1">
                  <c:v>2023</c:v>
                </c:pt>
              </c:numCache>
            </c:numRef>
          </c:cat>
          <c:val>
            <c:numRef>
              <c:f>Sheet1!$B$2:$B$3</c:f>
              <c:numCache>
                <c:formatCode>#,##0.00</c:formatCode>
                <c:ptCount val="2"/>
                <c:pt idx="0">
                  <c:v>40127.79</c:v>
                </c:pt>
                <c:pt idx="1">
                  <c:v>45983.9</c:v>
                </c:pt>
              </c:numCache>
            </c:numRef>
          </c:val>
        </c:ser>
        <c:ser>
          <c:idx val="1"/>
          <c:order val="1"/>
          <c:tx>
            <c:strRef>
              <c:f>Sheet1!$C$1</c:f>
              <c:strCache>
                <c:ptCount val="1"/>
                <c:pt idx="0">
                  <c:v>收入</c:v>
                </c:pt>
              </c:strCache>
            </c:strRef>
          </c:tx>
          <c:cat>
            <c:numRef>
              <c:f>Sheet1!$A$2:$A$3</c:f>
              <c:numCache>
                <c:formatCode>General</c:formatCode>
                <c:ptCount val="2"/>
                <c:pt idx="0">
                  <c:v>2022</c:v>
                </c:pt>
                <c:pt idx="1">
                  <c:v>2023</c:v>
                </c:pt>
              </c:numCache>
            </c:numRef>
          </c:cat>
          <c:val>
            <c:numRef>
              <c:f>Sheet1!$C$2:$C$3</c:f>
              <c:numCache>
                <c:formatCode>#,##0.00</c:formatCode>
                <c:ptCount val="2"/>
                <c:pt idx="0">
                  <c:v>40127.79</c:v>
                </c:pt>
                <c:pt idx="1">
                  <c:v>45983.9</c:v>
                </c:pt>
              </c:numCache>
            </c:numRef>
          </c:val>
        </c:ser>
        <c:axId val="78557568"/>
        <c:axId val="78559104"/>
      </c:barChart>
      <c:catAx>
        <c:axId val="78557568"/>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559104"/>
        <c:crosses val="autoZero"/>
        <c:auto val="1"/>
        <c:lblAlgn val="ctr"/>
        <c:lblOffset val="100"/>
      </c:catAx>
      <c:valAx>
        <c:axId val="78559104"/>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557568"/>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一般公共预算</a:t>
            </a:r>
            <a:r>
              <a:t>财政拨款支出</a:t>
            </a:r>
          </a:p>
        </c:rich>
      </c:tx>
    </c:title>
    <c:plotArea>
      <c:layout/>
      <c:barChart>
        <c:barDir val="col"/>
        <c:grouping val="clustered"/>
        <c:ser>
          <c:idx val="0"/>
          <c:order val="0"/>
          <c:tx>
            <c:strRef>
              <c:f>Sheet1!$B$1</c:f>
              <c:strCache>
                <c:ptCount val="1"/>
                <c:pt idx="0">
                  <c:v>支出</c:v>
                </c:pt>
              </c:strCache>
            </c:strRef>
          </c:tx>
          <c:cat>
            <c:numRef>
              <c:f>Sheet1!$A$2:$A$3</c:f>
              <c:numCache>
                <c:formatCode>General</c:formatCode>
                <c:ptCount val="2"/>
                <c:pt idx="0">
                  <c:v>2022</c:v>
                </c:pt>
                <c:pt idx="1">
                  <c:v>2023</c:v>
                </c:pt>
              </c:numCache>
            </c:numRef>
          </c:cat>
          <c:val>
            <c:numRef>
              <c:f>Sheet1!$B$2:$B$3</c:f>
              <c:numCache>
                <c:formatCode>#,##0.00</c:formatCode>
                <c:ptCount val="2"/>
                <c:pt idx="0">
                  <c:v>40127.79</c:v>
                </c:pt>
                <c:pt idx="1">
                  <c:v>45983.9</c:v>
                </c:pt>
              </c:numCache>
            </c:numRef>
          </c:val>
        </c:ser>
        <c:axId val="77387264"/>
        <c:axId val="77388800"/>
      </c:barChart>
      <c:catAx>
        <c:axId val="77387264"/>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7388800"/>
        <c:crosses val="autoZero"/>
        <c:auto val="1"/>
        <c:lblAlgn val="ctr"/>
        <c:lblOffset val="100"/>
      </c:catAx>
      <c:valAx>
        <c:axId val="77388800"/>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738726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cat>
            <c:strRef>
              <c:f>Sheet1!$A$2:$A$6</c:f>
              <c:strCache>
                <c:ptCount val="5"/>
                <c:pt idx="0">
                  <c:v>教育支出（类）</c:v>
                </c:pt>
                <c:pt idx="1">
                  <c:v>科学技术（类）</c:v>
                </c:pt>
                <c:pt idx="2">
                  <c:v>文化旅游体育与传媒支出（类）</c:v>
                </c:pt>
                <c:pt idx="3">
                  <c:v>社会保障和就业（类）</c:v>
                </c:pt>
                <c:pt idx="4">
                  <c:v>卫生健康支出(类）</c:v>
                </c:pt>
              </c:strCache>
            </c:strRef>
          </c:cat>
          <c:val>
            <c:numRef>
              <c:f>Sheet1!$B$2:$B$6</c:f>
              <c:numCache>
                <c:formatCode>General</c:formatCode>
                <c:ptCount val="5"/>
                <c:pt idx="0" formatCode="#,##0.00">
                  <c:v>45861.380000000012</c:v>
                </c:pt>
                <c:pt idx="1">
                  <c:v>12.950000000000006</c:v>
                </c:pt>
                <c:pt idx="2">
                  <c:v>82.03</c:v>
                </c:pt>
                <c:pt idx="3">
                  <c:v>24.54</c:v>
                </c:pt>
                <c:pt idx="4">
                  <c:v>3</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273ED-04A8-4168-9EB1-C55BF82C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1197</Words>
  <Characters>6824</Characters>
  <Application>Microsoft Office Word</Application>
  <DocSecurity>0</DocSecurity>
  <Lines>56</Lines>
  <Paragraphs>16</Paragraphs>
  <ScaleCrop>false</ScaleCrop>
  <Company>四川省财政厅</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cp:revision>
  <cp:lastPrinted>2024-09-12T08:06:00Z</cp:lastPrinted>
  <dcterms:created xsi:type="dcterms:W3CDTF">2024-09-14T08:15:00Z</dcterms:created>
  <dcterms:modified xsi:type="dcterms:W3CDTF">2024-09-14T08:15:00Z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CB7C991F41534967A5E06865AA332A91_13</vt:lpwstr>
  </property>
</Properties>
</file>