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8"/>
        <w:spacing w:before="74" w:line="227" w:lineRule="auto"/>
        <w:rPr>
          <w:rFonts w:ascii="FangSong" w:hAnsi="FangSong" w:eastAsia="FangSong" w:cs="FangSong"/>
          <w:sz w:val="15"/>
          <w:szCs w:val="15"/>
        </w:rPr>
      </w:pPr>
      <w:r>
        <w:rPr>
          <w:rFonts w:ascii="FangSong" w:hAnsi="FangSong" w:eastAsia="FangSong" w:cs="FangSong"/>
          <w:sz w:val="15"/>
          <w:szCs w:val="15"/>
          <w:spacing w:val="-2"/>
        </w:rPr>
        <w:t>附件3：</w:t>
      </w:r>
    </w:p>
    <w:p>
      <w:pPr>
        <w:ind w:left="3270"/>
        <w:spacing w:before="40" w:line="216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预算项目绩效目标申报表</w:t>
      </w:r>
    </w:p>
    <w:p>
      <w:pPr>
        <w:ind w:left="4394"/>
        <w:spacing w:before="149" w:line="221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-4"/>
        </w:rPr>
        <w:t>（</w:t>
      </w:r>
      <w:r>
        <w:rPr>
          <w:rFonts w:ascii="SimSun" w:hAnsi="SimSun" w:eastAsia="SimSun" w:cs="SimSun"/>
          <w:sz w:val="14"/>
          <w:szCs w:val="14"/>
          <w:spacing w:val="3"/>
        </w:rPr>
        <w:t xml:space="preserve">    </w:t>
      </w:r>
      <w:r>
        <w:rPr>
          <w:rFonts w:ascii="SimSun" w:hAnsi="SimSun" w:eastAsia="SimSun" w:cs="SimSun"/>
          <w:sz w:val="14"/>
          <w:szCs w:val="14"/>
          <w:spacing w:val="-4"/>
        </w:rPr>
        <w:t>年度）</w:t>
      </w:r>
    </w:p>
    <w:p>
      <w:pPr>
        <w:spacing w:line="82" w:lineRule="exact"/>
        <w:rPr/>
      </w:pPr>
      <w:r/>
    </w:p>
    <w:tbl>
      <w:tblPr>
        <w:tblStyle w:val="TableNormal"/>
        <w:tblW w:w="959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1"/>
        <w:gridCol w:w="928"/>
        <w:gridCol w:w="1968"/>
        <w:gridCol w:w="1793"/>
        <w:gridCol w:w="389"/>
        <w:gridCol w:w="1729"/>
        <w:gridCol w:w="935"/>
        <w:gridCol w:w="1214"/>
      </w:tblGrid>
      <w:tr>
        <w:trPr>
          <w:trHeight w:val="370" w:hRule="atLeast"/>
        </w:trPr>
        <w:tc>
          <w:tcPr>
            <w:tcW w:w="1569" w:type="dxa"/>
            <w:vAlign w:val="top"/>
            <w:gridSpan w:val="2"/>
          </w:tcPr>
          <w:p>
            <w:pPr>
              <w:ind w:left="483"/>
              <w:spacing w:before="115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项目名称</w:t>
            </w:r>
          </w:p>
        </w:tc>
        <w:tc>
          <w:tcPr>
            <w:tcW w:w="587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ind w:left="170"/>
              <w:spacing w:before="115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项目类别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56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33"/>
              <w:spacing w:before="49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3"/>
              </w:rPr>
              <w:t>部门（系）院</w:t>
            </w:r>
          </w:p>
        </w:tc>
        <w:tc>
          <w:tcPr>
            <w:tcW w:w="5879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ind w:left="93"/>
              <w:spacing w:before="109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项目联系人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56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79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ind w:left="171"/>
              <w:spacing w:before="110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联系电话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569" w:type="dxa"/>
            <w:vAlign w:val="top"/>
            <w:gridSpan w:val="2"/>
          </w:tcPr>
          <w:p>
            <w:pPr>
              <w:ind w:left="332"/>
              <w:spacing w:before="110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归口管理部门</w:t>
            </w:r>
          </w:p>
        </w:tc>
        <w:tc>
          <w:tcPr>
            <w:tcW w:w="802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56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75"/>
              <w:spacing w:before="139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项目申报预算总额</w:t>
            </w:r>
          </w:p>
          <w:p>
            <w:pPr>
              <w:ind w:left="495"/>
              <w:spacing w:before="4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-2"/>
              </w:rPr>
              <w:t>（万元）</w:t>
            </w:r>
          </w:p>
        </w:tc>
        <w:tc>
          <w:tcPr>
            <w:tcW w:w="5879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49" w:type="dxa"/>
            <w:vAlign w:val="top"/>
            <w:gridSpan w:val="2"/>
          </w:tcPr>
          <w:p>
            <w:pPr>
              <w:ind w:left="691"/>
              <w:spacing w:before="82" w:line="226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</w:rPr>
              <w:t>权重（10%）</w:t>
            </w:r>
          </w:p>
        </w:tc>
      </w:tr>
      <w:tr>
        <w:trPr>
          <w:trHeight w:val="300" w:hRule="atLeast"/>
        </w:trPr>
        <w:tc>
          <w:tcPr>
            <w:tcW w:w="156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79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49" w:type="dxa"/>
            <w:vAlign w:val="top"/>
            <w:gridSpan w:val="2"/>
          </w:tcPr>
          <w:p>
            <w:pPr>
              <w:ind w:left="983"/>
              <w:spacing w:before="86" w:line="242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4"/>
              </w:rPr>
              <w:t>10%</w:t>
            </w:r>
          </w:p>
        </w:tc>
      </w:tr>
      <w:tr>
        <w:trPr>
          <w:trHeight w:val="875" w:hRule="atLeast"/>
        </w:trPr>
        <w:tc>
          <w:tcPr>
            <w:tcW w:w="1569" w:type="dxa"/>
            <w:vAlign w:val="top"/>
            <w:gridSpan w:val="2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481"/>
              <w:spacing w:before="49" w:line="229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整体目标</w:t>
            </w:r>
          </w:p>
        </w:tc>
        <w:tc>
          <w:tcPr>
            <w:tcW w:w="802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95"/>
              <w:spacing w:before="49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绩效指</w:t>
            </w:r>
          </w:p>
          <w:p>
            <w:pPr>
              <w:ind w:left="245"/>
              <w:spacing w:before="3" w:line="229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</w:rPr>
              <w:t>标</w:t>
            </w:r>
          </w:p>
          <w:p>
            <w:pPr>
              <w:ind w:left="68"/>
              <w:spacing w:before="1" w:line="23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-2"/>
              </w:rPr>
              <w:t>（90%）</w:t>
            </w:r>
          </w:p>
        </w:tc>
        <w:tc>
          <w:tcPr>
            <w:tcW w:w="928" w:type="dxa"/>
            <w:vAlign w:val="top"/>
          </w:tcPr>
          <w:p>
            <w:pPr>
              <w:ind w:left="161"/>
              <w:spacing w:before="116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一级指标</w:t>
            </w:r>
          </w:p>
        </w:tc>
        <w:tc>
          <w:tcPr>
            <w:tcW w:w="1968" w:type="dxa"/>
            <w:vAlign w:val="top"/>
          </w:tcPr>
          <w:p>
            <w:pPr>
              <w:ind w:left="683"/>
              <w:spacing w:before="116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二级指标</w:t>
            </w:r>
          </w:p>
        </w:tc>
        <w:tc>
          <w:tcPr>
            <w:tcW w:w="1793" w:type="dxa"/>
            <w:vAlign w:val="top"/>
          </w:tcPr>
          <w:p>
            <w:pPr>
              <w:ind w:left="599"/>
              <w:spacing w:before="116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三级指标</w:t>
            </w:r>
          </w:p>
        </w:tc>
        <w:tc>
          <w:tcPr>
            <w:tcW w:w="389" w:type="dxa"/>
            <w:vAlign w:val="top"/>
          </w:tcPr>
          <w:p>
            <w:pPr>
              <w:ind w:left="46" w:right="31"/>
              <w:spacing w:before="22" w:line="210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</w:rPr>
              <w:t>指标</w:t>
            </w:r>
            <w:r>
              <w:rPr>
                <w:rFonts w:ascii="SimHei" w:hAnsi="SimHei" w:eastAsia="SimHei" w:cs="SimHei"/>
                <w:sz w:val="15"/>
                <w:szCs w:val="15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</w:rPr>
              <w:t>性质</w:t>
            </w:r>
          </w:p>
        </w:tc>
        <w:tc>
          <w:tcPr>
            <w:tcW w:w="1729" w:type="dxa"/>
            <w:vAlign w:val="top"/>
          </w:tcPr>
          <w:p>
            <w:pPr>
              <w:ind w:left="490" w:right="7" w:hanging="462"/>
              <w:spacing w:before="22" w:line="210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年度指标值（包含数字及</w:t>
            </w:r>
            <w:r>
              <w:rPr>
                <w:rFonts w:ascii="SimHei" w:hAnsi="SimHei" w:eastAsia="SimHei" w:cs="SimHei"/>
                <w:sz w:val="15"/>
                <w:szCs w:val="15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文字描述）</w:t>
            </w:r>
          </w:p>
        </w:tc>
        <w:tc>
          <w:tcPr>
            <w:tcW w:w="935" w:type="dxa"/>
            <w:vAlign w:val="top"/>
          </w:tcPr>
          <w:p>
            <w:pPr>
              <w:ind w:left="54"/>
              <w:spacing w:before="116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权重（90%）</w:t>
            </w:r>
          </w:p>
        </w:tc>
        <w:tc>
          <w:tcPr>
            <w:tcW w:w="1214" w:type="dxa"/>
            <w:vAlign w:val="top"/>
          </w:tcPr>
          <w:p>
            <w:pPr>
              <w:ind w:left="461"/>
              <w:spacing w:before="116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</w:rPr>
              <w:t>备注</w:t>
            </w:r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57"/>
              <w:spacing w:before="49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成本指标</w:t>
            </w:r>
          </w:p>
        </w:tc>
        <w:tc>
          <w:tcPr>
            <w:tcW w:w="1968" w:type="dxa"/>
            <w:vAlign w:val="top"/>
          </w:tcPr>
          <w:p>
            <w:pPr>
              <w:ind w:left="528"/>
              <w:spacing w:before="176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经济成本指标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526"/>
              <w:spacing w:before="177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社会成本指标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372"/>
              <w:spacing w:before="177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3"/>
              </w:rPr>
              <w:t>生态环境成本指标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57"/>
              <w:spacing w:before="49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产出指标</w:t>
            </w:r>
          </w:p>
        </w:tc>
        <w:tc>
          <w:tcPr>
            <w:tcW w:w="1968" w:type="dxa"/>
            <w:vAlign w:val="top"/>
          </w:tcPr>
          <w:p>
            <w:pPr>
              <w:ind w:left="681"/>
              <w:spacing w:before="178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数量指标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681"/>
              <w:spacing w:before="179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1"/>
              </w:rPr>
              <w:t>质量指标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685"/>
              <w:spacing w:before="180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</w:rPr>
              <w:t>时效指标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58"/>
              <w:spacing w:before="48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效益指标</w:t>
            </w:r>
          </w:p>
        </w:tc>
        <w:tc>
          <w:tcPr>
            <w:tcW w:w="1968" w:type="dxa"/>
            <w:vAlign w:val="top"/>
          </w:tcPr>
          <w:p>
            <w:pPr>
              <w:ind w:left="528"/>
              <w:spacing w:before="180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经济效益指标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526"/>
              <w:spacing w:before="181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社会效益指标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525"/>
              <w:spacing w:before="181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生态效益指标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452"/>
              <w:spacing w:before="182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可持续发展指标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452"/>
              <w:spacing w:before="182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可持续影响指标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81"/>
              <w:spacing w:before="49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满意度指标</w:t>
            </w:r>
          </w:p>
        </w:tc>
        <w:tc>
          <w:tcPr>
            <w:tcW w:w="1968" w:type="dxa"/>
            <w:vAlign w:val="top"/>
          </w:tcPr>
          <w:p>
            <w:pPr>
              <w:ind w:left="295"/>
              <w:spacing w:before="18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3"/>
              </w:rPr>
              <w:t>服务对象满意度指标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300"/>
              <w:spacing w:before="184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帮扶对象满意度指标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7" w:hRule="atLeast"/>
        </w:trPr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8" w:type="dxa"/>
            <w:vAlign w:val="top"/>
          </w:tcPr>
          <w:p>
            <w:pPr>
              <w:ind w:left="603"/>
              <w:spacing w:before="184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spacing w:val="2"/>
              </w:rPr>
              <w:t>满意度指标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605"/>
        <w:spacing w:before="191" w:line="223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</w:rPr>
        <w:t>分管院领导：</w:t>
      </w:r>
      <w:r>
        <w:rPr>
          <w:rFonts w:ascii="SimHei" w:hAnsi="SimHei" w:eastAsia="SimHei" w:cs="SimHei"/>
          <w:sz w:val="14"/>
          <w:szCs w:val="14"/>
          <w:spacing w:val="2"/>
        </w:rPr>
        <w:t xml:space="preserve">                            </w:t>
      </w:r>
      <w:r>
        <w:rPr>
          <w:rFonts w:ascii="SimHei" w:hAnsi="SimHei" w:eastAsia="SimHei" w:cs="SimHei"/>
          <w:sz w:val="14"/>
          <w:szCs w:val="14"/>
        </w:rPr>
        <w:t>部门负责人：</w:t>
      </w:r>
      <w:r>
        <w:rPr>
          <w:rFonts w:ascii="SimHei" w:hAnsi="SimHei" w:eastAsia="SimHei" w:cs="SimHei"/>
          <w:sz w:val="14"/>
          <w:szCs w:val="14"/>
        </w:rPr>
        <w:t xml:space="preserve">                               </w:t>
      </w:r>
      <w:r>
        <w:rPr>
          <w:rFonts w:ascii="SimHei" w:hAnsi="SimHei" w:eastAsia="SimHei" w:cs="SimHei"/>
          <w:sz w:val="14"/>
          <w:szCs w:val="14"/>
        </w:rPr>
        <w:t>填报人：</w:t>
      </w:r>
    </w:p>
    <w:p>
      <w:pPr>
        <w:spacing w:line="223" w:lineRule="auto"/>
        <w:sectPr>
          <w:pgSz w:w="11905" w:h="16834"/>
          <w:pgMar w:top="1430" w:right="1219" w:bottom="0" w:left="1077" w:header="0" w:footer="0" w:gutter="0"/>
        </w:sectPr>
        <w:rPr>
          <w:rFonts w:ascii="SimHei" w:hAnsi="SimHei" w:eastAsia="SimHei" w:cs="SimHei"/>
          <w:sz w:val="14"/>
          <w:szCs w:val="14"/>
        </w:rPr>
      </w:pPr>
    </w:p>
    <w:p>
      <w:pPr>
        <w:ind w:left="743"/>
        <w:spacing w:before="122" w:line="542" w:lineRule="exac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3"/>
          <w:position w:val="2"/>
        </w:rPr>
        <w:t>《预算项目绩效目标申报表》填报说明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91" w:line="224" w:lineRule="auto"/>
        <w:outlineLvl w:val="1"/>
        <w:rPr/>
      </w:pPr>
      <w:r>
        <w:rPr>
          <w:b/>
          <w:bCs/>
          <w:spacing w:val="-6"/>
        </w:rPr>
        <w:t>一、适用范围</w:t>
      </w:r>
    </w:p>
    <w:p>
      <w:pPr>
        <w:pStyle w:val="BodyText"/>
        <w:ind w:left="40" w:right="48" w:firstLine="552"/>
        <w:spacing w:before="238" w:line="371" w:lineRule="auto"/>
        <w:jc w:val="both"/>
        <w:rPr/>
      </w:pPr>
      <w:r>
        <w:rPr>
          <w:spacing w:val="-4"/>
        </w:rPr>
        <w:t>本表适用于预算项目库建设，与《预算项目立项申报表》一</w:t>
      </w:r>
      <w:r>
        <w:rPr>
          <w:spacing w:val="-5"/>
        </w:rPr>
        <w:t>同作</w:t>
      </w:r>
      <w:r>
        <w:rPr/>
        <w:t xml:space="preserve"> </w:t>
      </w:r>
      <w:r>
        <w:rPr>
          <w:spacing w:val="-4"/>
        </w:rPr>
        <w:t>为项目绩效目标审核和批复、预算资金确定、绩效监控、绩效评价的</w:t>
      </w:r>
      <w:r>
        <w:rPr/>
        <w:t xml:space="preserve"> </w:t>
      </w:r>
      <w:r>
        <w:rPr>
          <w:spacing w:val="-6"/>
        </w:rPr>
        <w:t>主要依据。</w:t>
      </w:r>
    </w:p>
    <w:p>
      <w:pPr>
        <w:pStyle w:val="BodyText"/>
        <w:ind w:left="461"/>
        <w:spacing w:before="45" w:line="223" w:lineRule="auto"/>
        <w:outlineLvl w:val="1"/>
        <w:rPr/>
      </w:pPr>
      <w:r>
        <w:rPr>
          <w:b/>
          <w:bCs/>
          <w:spacing w:val="-7"/>
        </w:rPr>
        <w:t>二、内容说明</w:t>
      </w:r>
    </w:p>
    <w:p>
      <w:pPr>
        <w:ind w:left="603"/>
        <w:spacing w:before="243" w:line="232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7"/>
        </w:rPr>
        <w:t>（一）整体目标</w:t>
      </w:r>
    </w:p>
    <w:p>
      <w:pPr>
        <w:pStyle w:val="BodyText"/>
        <w:ind w:left="37" w:firstLine="554"/>
        <w:spacing w:before="225" w:line="368" w:lineRule="auto"/>
        <w:rPr/>
      </w:pPr>
      <w:r>
        <w:rPr>
          <w:spacing w:val="-2"/>
        </w:rPr>
        <w:t>描述利用该项目全部预算资金在本年度内预</w:t>
      </w:r>
      <w:r>
        <w:rPr>
          <w:spacing w:val="-3"/>
        </w:rPr>
        <w:t>期达到的总体产出、</w:t>
      </w:r>
      <w:r>
        <w:rPr/>
        <w:t xml:space="preserve"> </w:t>
      </w:r>
      <w:r>
        <w:rPr>
          <w:spacing w:val="-3"/>
        </w:rPr>
        <w:t>效果和成本控制情况。</w:t>
      </w:r>
    </w:p>
    <w:p>
      <w:pPr>
        <w:ind w:left="603"/>
        <w:spacing w:before="44" w:line="227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4"/>
        </w:rPr>
        <w:t>（二）绩效指标类型和设置要求</w:t>
      </w:r>
    </w:p>
    <w:p>
      <w:pPr>
        <w:pStyle w:val="BodyText"/>
        <w:ind w:left="32" w:right="48" w:firstLine="563"/>
        <w:spacing w:before="234" w:line="375" w:lineRule="auto"/>
        <w:jc w:val="both"/>
        <w:rPr/>
      </w:pPr>
      <w:r>
        <w:rPr>
          <w:spacing w:val="-4"/>
        </w:rPr>
        <w:t>绩效指标一般包括成本指标、产出指标、效益指标、</w:t>
      </w:r>
      <w:r>
        <w:rPr>
          <w:spacing w:val="-5"/>
        </w:rPr>
        <w:t>满意度指标</w:t>
      </w:r>
      <w:r>
        <w:rPr/>
        <w:t xml:space="preserve"> </w:t>
      </w:r>
      <w:r>
        <w:rPr>
          <w:spacing w:val="-4"/>
        </w:rPr>
        <w:t>四类一级指标，原则上每一项目均应设置产出指标和效益指标。工程</w:t>
      </w:r>
      <w:r>
        <w:rPr>
          <w:spacing w:val="7"/>
        </w:rPr>
        <w:t xml:space="preserve"> </w:t>
      </w:r>
      <w:r>
        <w:rPr>
          <w:spacing w:val="-4"/>
        </w:rPr>
        <w:t>基建类项目和大型修缮及购置项目等应设置成本指标，其他具备条件</w:t>
      </w:r>
      <w:r>
        <w:rPr>
          <w:spacing w:val="7"/>
        </w:rPr>
        <w:t xml:space="preserve"> </w:t>
      </w:r>
      <w:r>
        <w:rPr>
          <w:spacing w:val="-1"/>
        </w:rPr>
        <w:t>的项目结合实际填报。满意度指标根据实际需要选用。</w:t>
      </w:r>
    </w:p>
    <w:p>
      <w:pPr>
        <w:pStyle w:val="BodyText"/>
        <w:ind w:left="33" w:right="48" w:firstLine="568"/>
        <w:spacing w:before="47" w:line="372" w:lineRule="auto"/>
        <w:jc w:val="both"/>
        <w:rPr/>
      </w:pPr>
      <w:r>
        <w:rPr>
          <w:spacing w:val="-5"/>
        </w:rPr>
        <w:t>每一类一级指标细分为若干二级指标、三级指标，分别设定具体</w:t>
      </w:r>
      <w:r>
        <w:rPr>
          <w:spacing w:val="17"/>
        </w:rPr>
        <w:t xml:space="preserve"> </w:t>
      </w:r>
      <w:r>
        <w:rPr>
          <w:spacing w:val="-4"/>
        </w:rPr>
        <w:t>的指标值。指标值应尽量细化、量化，可量化的用数值描述，不可量</w:t>
      </w:r>
      <w:r>
        <w:rPr>
          <w:spacing w:val="5"/>
        </w:rPr>
        <w:t xml:space="preserve"> </w:t>
      </w:r>
      <w:r>
        <w:rPr>
          <w:spacing w:val="-3"/>
        </w:rPr>
        <w:t>化的以定性描述。</w:t>
      </w:r>
    </w:p>
    <w:p>
      <w:pPr>
        <w:pStyle w:val="BodyText"/>
        <w:ind w:left="60" w:right="48" w:firstLine="542"/>
        <w:spacing w:before="47" w:line="367" w:lineRule="auto"/>
        <w:rPr/>
      </w:pPr>
      <w:r>
        <w:rPr>
          <w:spacing w:val="-5"/>
        </w:rPr>
        <w:t>系统中综合项目模板的明细绩效指标初始化状态为空白，需各部</w:t>
      </w:r>
      <w:r>
        <w:rPr>
          <w:spacing w:val="16"/>
        </w:rPr>
        <w:t xml:space="preserve"> </w:t>
      </w:r>
      <w:r>
        <w:rPr>
          <w:spacing w:val="-2"/>
        </w:rPr>
        <w:t>门和单位根据项目实际按要求自行逐项添加具体指标。</w:t>
      </w:r>
    </w:p>
    <w:p>
      <w:pPr>
        <w:pStyle w:val="BodyText"/>
        <w:ind w:left="603"/>
        <w:spacing w:before="45" w:line="223" w:lineRule="auto"/>
        <w:outlineLvl w:val="3"/>
        <w:rPr/>
      </w:pPr>
      <w:r>
        <w:rPr>
          <w:b/>
          <w:bCs/>
          <w:spacing w:val="-7"/>
        </w:rPr>
        <w:t>1.成本指标</w:t>
      </w:r>
    </w:p>
    <w:p>
      <w:pPr>
        <w:pStyle w:val="BodyText"/>
        <w:ind w:left="31" w:right="48" w:firstLine="564"/>
        <w:spacing w:before="239" w:line="371" w:lineRule="auto"/>
        <w:jc w:val="both"/>
        <w:rPr/>
      </w:pPr>
      <w:r>
        <w:rPr>
          <w:spacing w:val="-4"/>
        </w:rPr>
        <w:t>成本指标可分为经济成本指标、社会成本指标和生态</w:t>
      </w:r>
      <w:r>
        <w:rPr>
          <w:spacing w:val="-5"/>
        </w:rPr>
        <w:t>环境成本指</w:t>
      </w:r>
      <w:r>
        <w:rPr/>
        <w:t xml:space="preserve"> </w:t>
      </w:r>
      <w:r>
        <w:rPr>
          <w:spacing w:val="-4"/>
        </w:rPr>
        <w:t>标等，分别反映项目实施产生的各方面成本的预期控制范围。（工程</w:t>
      </w:r>
      <w:r>
        <w:rPr>
          <w:spacing w:val="7"/>
        </w:rPr>
        <w:t xml:space="preserve"> </w:t>
      </w:r>
      <w:r>
        <w:rPr>
          <w:spacing w:val="-1"/>
        </w:rPr>
        <w:t>基建类项目和大型修缮及购置项目等应设置成本指标）</w:t>
      </w:r>
    </w:p>
    <w:p>
      <w:pPr>
        <w:spacing w:line="371" w:lineRule="auto"/>
        <w:sectPr>
          <w:pgSz w:w="11906" w:h="16839"/>
          <w:pgMar w:top="1431" w:right="1751" w:bottom="0" w:left="1785" w:header="0" w:footer="0" w:gutter="0"/>
        </w:sectPr>
        <w:rPr/>
      </w:pPr>
    </w:p>
    <w:p>
      <w:pPr>
        <w:pStyle w:val="BodyText"/>
        <w:spacing w:before="228" w:line="222" w:lineRule="auto"/>
        <w:jc w:val="right"/>
        <w:rPr/>
      </w:pPr>
      <w:r>
        <w:rPr>
          <w:spacing w:val="-5"/>
        </w:rPr>
        <w:t>（1）经济成本指标。反映实施相关项目所产生的</w:t>
      </w:r>
      <w:r>
        <w:rPr>
          <w:spacing w:val="-6"/>
        </w:rPr>
        <w:t>直接经济成本。</w:t>
      </w:r>
    </w:p>
    <w:p>
      <w:pPr>
        <w:pStyle w:val="BodyText"/>
        <w:ind w:left="42" w:right="101" w:firstLine="549"/>
        <w:spacing w:before="241" w:line="302" w:lineRule="auto"/>
        <w:rPr/>
      </w:pPr>
      <w:r>
        <w:rPr>
          <w:spacing w:val="1"/>
        </w:rPr>
        <w:t>（2）社会成本指标。反映实施相关项目对社会发展、公共福利</w:t>
      </w:r>
      <w:r>
        <w:rPr/>
        <w:t xml:space="preserve"> </w:t>
      </w:r>
      <w:r>
        <w:rPr>
          <w:spacing w:val="-3"/>
        </w:rPr>
        <w:t>等方面可能造成的负面影响。</w:t>
      </w:r>
    </w:p>
    <w:p>
      <w:pPr>
        <w:pStyle w:val="BodyText"/>
        <w:ind w:left="49" w:right="101" w:firstLine="543"/>
        <w:spacing w:before="240" w:line="302" w:lineRule="auto"/>
        <w:rPr/>
      </w:pPr>
      <w:r>
        <w:rPr>
          <w:spacing w:val="1"/>
        </w:rPr>
        <w:t>（3）生态环境成本指标。反映实施相关项目对自然生态环境可</w:t>
      </w:r>
      <w:r>
        <w:rPr/>
        <w:t xml:space="preserve"> </w:t>
      </w:r>
      <w:r>
        <w:rPr>
          <w:spacing w:val="-4"/>
        </w:rPr>
        <w:t>能造成的负面影响。</w:t>
      </w:r>
    </w:p>
    <w:p>
      <w:pPr>
        <w:pStyle w:val="BodyText"/>
        <w:ind w:left="586"/>
        <w:spacing w:before="241" w:line="223" w:lineRule="auto"/>
        <w:outlineLvl w:val="3"/>
        <w:rPr/>
      </w:pPr>
      <w:r>
        <w:rPr>
          <w:b/>
          <w:bCs/>
          <w:spacing w:val="-5"/>
        </w:rPr>
        <w:t>2.产出指标</w:t>
      </w:r>
    </w:p>
    <w:p>
      <w:pPr>
        <w:pStyle w:val="BodyText"/>
        <w:ind w:left="32" w:right="101" w:firstLine="561"/>
        <w:spacing w:before="237" w:line="374" w:lineRule="auto"/>
        <w:jc w:val="both"/>
        <w:rPr/>
      </w:pPr>
      <w:r>
        <w:rPr>
          <w:spacing w:val="-4"/>
        </w:rPr>
        <w:t>产出指标是对预期产出的描述，包括数量指标、质量指标</w:t>
      </w:r>
      <w:r>
        <w:rPr>
          <w:spacing w:val="-5"/>
        </w:rPr>
        <w:t>、时效</w:t>
      </w:r>
      <w:r>
        <w:rPr/>
        <w:t xml:space="preserve"> </w:t>
      </w:r>
      <w:r>
        <w:rPr>
          <w:spacing w:val="-4"/>
        </w:rPr>
        <w:t>指标等二级指标。产出指标的设置应当与主要支出方向相对应，原则</w:t>
      </w:r>
      <w:r>
        <w:rPr>
          <w:spacing w:val="7"/>
        </w:rPr>
        <w:t xml:space="preserve"> </w:t>
      </w:r>
      <w:r>
        <w:rPr>
          <w:spacing w:val="-4"/>
        </w:rPr>
        <w:t>上不应存在重大缺项、漏项。数量指标、质量指标、时效指标原则上</w:t>
      </w:r>
      <w:r>
        <w:rPr>
          <w:spacing w:val="7"/>
        </w:rPr>
        <w:t xml:space="preserve"> </w:t>
      </w:r>
      <w:r>
        <w:rPr>
          <w:spacing w:val="-4"/>
        </w:rPr>
        <w:t>均需设置。</w:t>
      </w:r>
    </w:p>
    <w:p>
      <w:pPr>
        <w:pStyle w:val="BodyText"/>
        <w:ind w:left="32" w:right="101" w:firstLine="559"/>
        <w:spacing w:before="47" w:line="327" w:lineRule="auto"/>
        <w:rPr/>
      </w:pPr>
      <w:r>
        <w:rPr>
          <w:spacing w:val="1"/>
        </w:rPr>
        <w:t>（1）数量指标。反映预期提供的公共产品或服务数量，应根据</w:t>
      </w:r>
      <w:r>
        <w:rPr/>
        <w:t xml:space="preserve"> </w:t>
      </w:r>
      <w:r>
        <w:rPr>
          <w:spacing w:val="-4"/>
        </w:rPr>
        <w:t>项目活动设定相应的指标内容。数量指标应突出重点，力求以较少的</w:t>
      </w:r>
      <w:r>
        <w:rPr>
          <w:spacing w:val="7"/>
        </w:rPr>
        <w:t xml:space="preserve"> </w:t>
      </w:r>
      <w:r>
        <w:rPr>
          <w:spacing w:val="-2"/>
        </w:rPr>
        <w:t>指标涵盖体现主要工作内容。</w:t>
      </w:r>
    </w:p>
    <w:p>
      <w:pPr>
        <w:pStyle w:val="BodyText"/>
        <w:ind w:left="31" w:right="101" w:firstLine="560"/>
        <w:spacing w:before="245" w:line="328" w:lineRule="auto"/>
        <w:rPr/>
      </w:pPr>
      <w:r>
        <w:rPr>
          <w:spacing w:val="1"/>
        </w:rPr>
        <w:t>（2）质量指标。反映预期提供的公共产品或服务达到的标准和</w:t>
      </w:r>
      <w:r>
        <w:rPr/>
        <w:t xml:space="preserve"> </w:t>
      </w:r>
      <w:r>
        <w:rPr>
          <w:spacing w:val="-4"/>
        </w:rPr>
        <w:t>水平，原则上工程基建类、信息化建设类等有明确质量标准的项目应</w:t>
      </w:r>
      <w:r>
        <w:rPr>
          <w:spacing w:val="7"/>
        </w:rPr>
        <w:t xml:space="preserve"> </w:t>
      </w:r>
      <w:r>
        <w:rPr>
          <w:spacing w:val="-13"/>
        </w:rPr>
        <w:t>设置质量指标，如“设备故障率</w:t>
      </w:r>
      <w:r>
        <w:rPr>
          <w:spacing w:val="-99"/>
        </w:rPr>
        <w:t xml:space="preserve"> </w:t>
      </w:r>
      <w:r>
        <w:rPr>
          <w:spacing w:val="-13"/>
        </w:rPr>
        <w:t>”、“项目竣工验收合格率</w:t>
      </w:r>
      <w:r>
        <w:rPr>
          <w:spacing w:val="-103"/>
        </w:rPr>
        <w:t xml:space="preserve"> </w:t>
      </w:r>
      <w:r>
        <w:rPr>
          <w:spacing w:val="-13"/>
        </w:rPr>
        <w:t>”等。</w:t>
      </w:r>
    </w:p>
    <w:p>
      <w:pPr>
        <w:pStyle w:val="BodyText"/>
        <w:ind w:left="34" w:right="69" w:firstLine="557"/>
        <w:spacing w:before="243" w:line="349" w:lineRule="auto"/>
        <w:rPr/>
      </w:pPr>
      <w:r>
        <w:rPr>
          <w:spacing w:val="1"/>
        </w:rPr>
        <w:t>（3）时效指标。反映预期提供的公共产品或服务的及时程度和</w:t>
      </w:r>
      <w:r>
        <w:rPr/>
        <w:t xml:space="preserve"> </w:t>
      </w:r>
      <w:r>
        <w:rPr>
          <w:spacing w:val="-4"/>
        </w:rPr>
        <w:t>效率情况。设置时效指标，需确定整体完成时间。对于有时限完成要</w:t>
      </w:r>
      <w:r>
        <w:rPr>
          <w:spacing w:val="4"/>
        </w:rPr>
        <w:t xml:space="preserve"> </w:t>
      </w:r>
      <w:r>
        <w:rPr>
          <w:spacing w:val="-3"/>
        </w:rPr>
        <w:t>求、关键性时间节点明确的项目，还需要分解设置约束性时效指标；</w:t>
      </w:r>
      <w:r>
        <w:rPr>
          <w:spacing w:val="6"/>
        </w:rPr>
        <w:t xml:space="preserve"> </w:t>
      </w:r>
      <w:r>
        <w:rPr>
          <w:spacing w:val="-4"/>
        </w:rPr>
        <w:t>对于内容相对较多并且复杂的项目，可根据工作开展周期或频次设定</w:t>
      </w:r>
      <w:r>
        <w:rPr>
          <w:spacing w:val="4"/>
        </w:rPr>
        <w:t xml:space="preserve"> </w:t>
      </w:r>
      <w:r>
        <w:rPr>
          <w:spacing w:val="-14"/>
        </w:rPr>
        <w:t>相应指标，如“工程按时完工率</w:t>
      </w:r>
      <w:r>
        <w:rPr>
          <w:spacing w:val="-98"/>
        </w:rPr>
        <w:t xml:space="preserve"> </w:t>
      </w:r>
      <w:r>
        <w:rPr>
          <w:spacing w:val="-14"/>
        </w:rPr>
        <w:t>”、“助学金发放周期</w:t>
      </w:r>
      <w:r>
        <w:rPr>
          <w:spacing w:val="-105"/>
        </w:rPr>
        <w:t xml:space="preserve"> </w:t>
      </w:r>
      <w:r>
        <w:rPr>
          <w:spacing w:val="-14"/>
        </w:rPr>
        <w:t>”等。</w:t>
      </w:r>
    </w:p>
    <w:p>
      <w:pPr>
        <w:pStyle w:val="BodyText"/>
        <w:ind w:left="588"/>
        <w:spacing w:before="241" w:line="223" w:lineRule="auto"/>
        <w:outlineLvl w:val="3"/>
        <w:rPr/>
      </w:pPr>
      <w:r>
        <w:rPr>
          <w:b/>
          <w:bCs/>
          <w:spacing w:val="-5"/>
        </w:rPr>
        <w:t>3.效益指标</w:t>
      </w:r>
    </w:p>
    <w:p>
      <w:pPr>
        <w:pStyle w:val="BodyText"/>
        <w:ind w:left="31" w:right="101" w:firstLine="564"/>
        <w:spacing w:before="239" w:line="367" w:lineRule="auto"/>
        <w:rPr/>
      </w:pPr>
      <w:r>
        <w:rPr>
          <w:spacing w:val="-4"/>
        </w:rPr>
        <w:t>效益指标是对预期效果的描述，包括经济效益指标、</w:t>
      </w:r>
      <w:r>
        <w:rPr>
          <w:spacing w:val="-5"/>
        </w:rPr>
        <w:t>社会效益指</w:t>
      </w:r>
      <w:r>
        <w:rPr/>
        <w:t xml:space="preserve"> </w:t>
      </w:r>
      <w:r>
        <w:rPr>
          <w:spacing w:val="-2"/>
        </w:rPr>
        <w:t>标、生态效益指标等二级指标。</w:t>
      </w:r>
    </w:p>
    <w:p>
      <w:pPr>
        <w:spacing w:line="367" w:lineRule="auto"/>
        <w:sectPr>
          <w:pgSz w:w="11906" w:h="16839"/>
          <w:pgMar w:top="1431" w:right="1698" w:bottom="0" w:left="1785" w:header="0" w:footer="0" w:gutter="0"/>
        </w:sectPr>
        <w:rPr/>
      </w:pPr>
    </w:p>
    <w:p>
      <w:pPr>
        <w:pStyle w:val="BodyText"/>
        <w:ind w:left="32" w:right="101" w:firstLine="559"/>
        <w:spacing w:before="228" w:line="328" w:lineRule="auto"/>
        <w:rPr/>
      </w:pPr>
      <w:r>
        <w:rPr>
          <w:spacing w:val="1"/>
        </w:rPr>
        <w:t>（1）经济效益指标。反映相关产出对经济效益带来的影响和效</w:t>
      </w:r>
      <w:r>
        <w:rPr/>
        <w:t xml:space="preserve"> </w:t>
      </w:r>
      <w:r>
        <w:rPr>
          <w:spacing w:val="-4"/>
        </w:rPr>
        <w:t>果，包括相关产出在当年及以后若干年持续形成的经济效益，以及自</w:t>
      </w:r>
      <w:r>
        <w:rPr>
          <w:spacing w:val="7"/>
        </w:rPr>
        <w:t xml:space="preserve"> </w:t>
      </w:r>
      <w:r>
        <w:rPr>
          <w:spacing w:val="-1"/>
        </w:rPr>
        <w:t>身创造的直接经济效益和引领行业带来的间接经济效益。</w:t>
      </w:r>
    </w:p>
    <w:p>
      <w:pPr>
        <w:pStyle w:val="BodyText"/>
        <w:ind w:left="33" w:right="101" w:firstLine="558"/>
        <w:spacing w:before="245" w:line="341" w:lineRule="auto"/>
        <w:rPr/>
      </w:pPr>
      <w:r>
        <w:rPr>
          <w:spacing w:val="1"/>
        </w:rPr>
        <w:t>（2）社会效益指标。反映相关产出对社会发展带来的影响和效</w:t>
      </w:r>
      <w:r>
        <w:rPr/>
        <w:t xml:space="preserve"> </w:t>
      </w:r>
      <w:r>
        <w:rPr>
          <w:spacing w:val="-4"/>
        </w:rPr>
        <w:t>果，用于体现项目实施当年及以后若干年在提升治理水平、落实国家</w:t>
      </w:r>
      <w:r>
        <w:rPr>
          <w:spacing w:val="5"/>
        </w:rPr>
        <w:t xml:space="preserve"> </w:t>
      </w:r>
      <w:r>
        <w:rPr>
          <w:spacing w:val="-4"/>
        </w:rPr>
        <w:t>政策、推动行业发展、服务民生大众、维持社会稳定、维护社会公平</w:t>
      </w:r>
      <w:r>
        <w:rPr>
          <w:spacing w:val="5"/>
        </w:rPr>
        <w:t xml:space="preserve"> </w:t>
      </w:r>
      <w:r>
        <w:rPr>
          <w:spacing w:val="-2"/>
        </w:rPr>
        <w:t>正义、提高履职或服务效率等方面的效益。</w:t>
      </w:r>
    </w:p>
    <w:p>
      <w:pPr>
        <w:pStyle w:val="BodyText"/>
        <w:ind w:left="32" w:firstLine="559"/>
        <w:spacing w:before="238" w:line="328" w:lineRule="auto"/>
        <w:rPr/>
      </w:pPr>
      <w:r>
        <w:rPr>
          <w:spacing w:val="1"/>
        </w:rPr>
        <w:t>（3）生态效益指标。反映相关产出对自然生态环境带来的影响</w:t>
      </w:r>
      <w:r>
        <w:rPr/>
        <w:t xml:space="preserve"> </w:t>
      </w:r>
      <w:r>
        <w:rPr>
          <w:spacing w:val="-10"/>
        </w:rPr>
        <w:t>和效果，即对生产、生活条件和环境条件产生的有益影响和有利效果。</w:t>
      </w:r>
      <w:r>
        <w:rPr>
          <w:spacing w:val="18"/>
        </w:rPr>
        <w:t xml:space="preserve"> </w:t>
      </w:r>
      <w:r>
        <w:rPr>
          <w:spacing w:val="-1"/>
        </w:rPr>
        <w:t>包括相关产出在当年及以后若干年持续形成的生态效益。</w:t>
      </w:r>
    </w:p>
    <w:p>
      <w:pPr>
        <w:pStyle w:val="BodyText"/>
        <w:ind w:left="34" w:right="45" w:firstLine="559"/>
        <w:spacing w:before="243" w:line="371" w:lineRule="auto"/>
        <w:jc w:val="both"/>
        <w:rPr/>
      </w:pPr>
      <w:r>
        <w:rPr>
          <w:spacing w:val="-2"/>
        </w:rPr>
        <w:t>对于一些特定项目，应结合管理需要确定必设指标的限定</w:t>
      </w:r>
      <w:r>
        <w:rPr>
          <w:spacing w:val="-3"/>
        </w:rPr>
        <w:t>要求。</w:t>
      </w:r>
      <w:r>
        <w:rPr/>
        <w:t xml:space="preserve"> </w:t>
      </w:r>
      <w:r>
        <w:rPr>
          <w:spacing w:val="-4"/>
        </w:rPr>
        <w:t>如工程基建类项目和大型修缮及购置项目，考虑使用期限，必须在相</w:t>
      </w:r>
      <w:r>
        <w:rPr>
          <w:spacing w:val="4"/>
        </w:rPr>
        <w:t xml:space="preserve"> </w:t>
      </w:r>
      <w:r>
        <w:rPr>
          <w:spacing w:val="-1"/>
        </w:rPr>
        <w:t>关指标中明确当年及以后一段时期内预期效益发挥情况。</w:t>
      </w:r>
    </w:p>
    <w:p>
      <w:pPr>
        <w:pStyle w:val="BodyText"/>
        <w:ind w:left="32" w:right="101" w:firstLine="561"/>
        <w:spacing w:before="46" w:line="371" w:lineRule="auto"/>
        <w:jc w:val="both"/>
        <w:rPr/>
      </w:pPr>
      <w:r>
        <w:rPr>
          <w:spacing w:val="-4"/>
        </w:rPr>
        <w:t>对于具备条件的社会效益指标和生态效益指标，应尽可能</w:t>
      </w:r>
      <w:r>
        <w:rPr>
          <w:spacing w:val="-5"/>
        </w:rPr>
        <w:t>通过科</w:t>
      </w:r>
      <w:r>
        <w:rPr/>
        <w:t xml:space="preserve"> </w:t>
      </w:r>
      <w:r>
        <w:rPr>
          <w:spacing w:val="-4"/>
        </w:rPr>
        <w:t>学合理的方式，在予以货币化等量化反映的基础上，转列为经济效益</w:t>
      </w:r>
      <w:r>
        <w:rPr>
          <w:spacing w:val="7"/>
        </w:rPr>
        <w:t xml:space="preserve"> </w:t>
      </w:r>
      <w:r>
        <w:rPr>
          <w:spacing w:val="-2"/>
        </w:rPr>
        <w:t>指标，以便于进行成本效益分析比较。</w:t>
      </w:r>
    </w:p>
    <w:p>
      <w:pPr>
        <w:pStyle w:val="BodyText"/>
        <w:ind w:left="581"/>
        <w:spacing w:before="47" w:line="223" w:lineRule="auto"/>
        <w:outlineLvl w:val="3"/>
        <w:rPr/>
      </w:pPr>
      <w:r>
        <w:rPr>
          <w:b/>
          <w:bCs/>
          <w:spacing w:val="-4"/>
        </w:rPr>
        <w:t>4.满意度指标</w:t>
      </w:r>
    </w:p>
    <w:p>
      <w:pPr>
        <w:pStyle w:val="BodyText"/>
        <w:ind w:left="38" w:right="101" w:firstLine="554"/>
        <w:spacing w:before="239" w:line="373" w:lineRule="auto"/>
        <w:jc w:val="both"/>
        <w:rPr/>
      </w:pPr>
      <w:r>
        <w:rPr>
          <w:spacing w:val="-4"/>
        </w:rPr>
        <w:t>满意度指标是对预期产出和效果的满意情况的描述，反映服</w:t>
      </w:r>
      <w:r>
        <w:rPr>
          <w:spacing w:val="-5"/>
        </w:rPr>
        <w:t>务对</w:t>
      </w:r>
      <w:r>
        <w:rPr/>
        <w:t xml:space="preserve"> </w:t>
      </w:r>
      <w:r>
        <w:rPr>
          <w:spacing w:val="-4"/>
        </w:rPr>
        <w:t>象或项目受益人及其他相关群体的认可程度。对申报满意度指标的项</w:t>
      </w:r>
      <w:r>
        <w:rPr>
          <w:spacing w:val="1"/>
        </w:rPr>
        <w:t xml:space="preserve"> </w:t>
      </w:r>
      <w:r>
        <w:rPr>
          <w:spacing w:val="-4"/>
        </w:rPr>
        <w:t>目，在项目执行过程中应开展满意度调查或者其他收集满意度反馈的</w:t>
      </w:r>
      <w:r>
        <w:rPr>
          <w:spacing w:val="1"/>
        </w:rPr>
        <w:t xml:space="preserve"> </w:t>
      </w:r>
      <w:r>
        <w:rPr>
          <w:spacing w:val="-4"/>
        </w:rPr>
        <w:t>工作。如“展览观众满意度</w:t>
      </w:r>
      <w:r>
        <w:rPr>
          <w:spacing w:val="-103"/>
        </w:rPr>
        <w:t xml:space="preserve"> </w:t>
      </w:r>
      <w:r>
        <w:rPr>
          <w:spacing w:val="-4"/>
        </w:rPr>
        <w:t>”、“补贴对象满意度</w:t>
      </w:r>
      <w:r>
        <w:rPr>
          <w:spacing w:val="-102"/>
        </w:rPr>
        <w:t xml:space="preserve"> </w:t>
      </w:r>
      <w:r>
        <w:rPr>
          <w:spacing w:val="-4"/>
        </w:rPr>
        <w:t>”等。</w:t>
      </w:r>
    </w:p>
    <w:p>
      <w:pPr>
        <w:pStyle w:val="BodyText"/>
        <w:ind w:left="31" w:right="66" w:firstLine="561"/>
        <w:spacing w:before="51" w:line="371" w:lineRule="auto"/>
        <w:jc w:val="both"/>
        <w:rPr/>
      </w:pPr>
      <w:r>
        <w:rPr>
          <w:spacing w:val="-3"/>
        </w:rPr>
        <w:t>满意度指标一般适用于直接面向社会主体及公众提供公共服务，</w:t>
      </w:r>
      <w:r>
        <w:rPr>
          <w:spacing w:val="5"/>
        </w:rPr>
        <w:t xml:space="preserve"> </w:t>
      </w:r>
      <w:r>
        <w:rPr>
          <w:spacing w:val="-4"/>
        </w:rPr>
        <w:t>以及其他事关群众切身利益的项目支出，其他项目根据实际情况可不</w:t>
      </w:r>
      <w:r>
        <w:rPr>
          <w:spacing w:val="7"/>
        </w:rPr>
        <w:t xml:space="preserve"> </w:t>
      </w:r>
      <w:r>
        <w:rPr>
          <w:spacing w:val="-3"/>
        </w:rPr>
        <w:t>设满意度指标。</w:t>
      </w:r>
    </w:p>
    <w:p>
      <w:pPr>
        <w:spacing w:line="371" w:lineRule="auto"/>
        <w:sectPr>
          <w:pgSz w:w="11906" w:h="16839"/>
          <w:pgMar w:top="1431" w:right="1698" w:bottom="0" w:left="1785" w:header="0" w:footer="0" w:gutter="0"/>
        </w:sectPr>
        <w:rPr/>
      </w:pPr>
    </w:p>
    <w:p>
      <w:pPr>
        <w:ind w:left="603"/>
        <w:spacing w:before="228" w:line="226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4"/>
        </w:rPr>
        <w:t>（三）绩效指标的具体编制要素</w:t>
      </w:r>
    </w:p>
    <w:p>
      <w:pPr>
        <w:pStyle w:val="BodyText"/>
        <w:ind w:left="32" w:right="240" w:firstLine="571"/>
        <w:spacing w:before="237" w:line="372" w:lineRule="auto"/>
        <w:jc w:val="both"/>
        <w:rPr/>
      </w:pPr>
      <w:r>
        <w:rPr>
          <w:b/>
          <w:bCs/>
          <w:spacing w:val="-5"/>
        </w:rPr>
        <w:t>1.三级指标名称。</w:t>
      </w:r>
      <w:r>
        <w:rPr>
          <w:spacing w:val="-5"/>
        </w:rPr>
        <w:t>指对指标含义的简要描述，要求</w:t>
      </w:r>
      <w:r>
        <w:rPr>
          <w:spacing w:val="-6"/>
        </w:rPr>
        <w:t>简洁明确、通</w:t>
      </w:r>
      <w:r>
        <w:rPr/>
        <w:t xml:space="preserve"> </w:t>
      </w:r>
      <w:r>
        <w:rPr>
          <w:spacing w:val="-6"/>
        </w:rPr>
        <w:t>俗易懂。如“房屋修缮面积</w:t>
      </w:r>
      <w:r>
        <w:rPr>
          <w:spacing w:val="-103"/>
        </w:rPr>
        <w:t xml:space="preserve"> </w:t>
      </w:r>
      <w:r>
        <w:rPr>
          <w:spacing w:val="-6"/>
        </w:rPr>
        <w:t>”、“设备更新改造数</w:t>
      </w:r>
      <w:r>
        <w:rPr>
          <w:spacing w:val="-7"/>
        </w:rPr>
        <w:t>量</w:t>
      </w:r>
      <w:r>
        <w:rPr>
          <w:spacing w:val="-102"/>
        </w:rPr>
        <w:t xml:space="preserve"> </w:t>
      </w:r>
      <w:r>
        <w:rPr>
          <w:spacing w:val="-7"/>
        </w:rPr>
        <w:t>”、“验收合格</w:t>
      </w:r>
      <w:r>
        <w:rPr/>
        <w:t xml:space="preserve"> </w:t>
      </w:r>
      <w:r>
        <w:rPr>
          <w:spacing w:val="-3"/>
        </w:rPr>
        <w:t>率</w:t>
      </w:r>
      <w:r>
        <w:rPr>
          <w:spacing w:val="-103"/>
        </w:rPr>
        <w:t xml:space="preserve"> </w:t>
      </w:r>
      <w:r>
        <w:rPr>
          <w:spacing w:val="-3"/>
        </w:rPr>
        <w:t>”等。（不限于模板设定三级指标名称）</w:t>
      </w:r>
    </w:p>
    <w:p>
      <w:pPr>
        <w:pStyle w:val="BodyText"/>
        <w:ind w:left="3" w:firstLine="582"/>
        <w:spacing w:before="47" w:line="369" w:lineRule="auto"/>
        <w:rPr/>
      </w:pPr>
      <w:r>
        <w:rPr>
          <w:b/>
          <w:bCs/>
        </w:rPr>
        <w:t>2.指标性质。</w:t>
      </w:r>
      <w:r>
        <w:rPr/>
        <w:t>指标名称与指标值的相对关系。例如“</w:t>
      </w:r>
      <w:r>
        <w:rPr>
          <w:spacing w:val="-97"/>
        </w:rPr>
        <w:t xml:space="preserve"> </w:t>
      </w:r>
      <w:r>
        <w:rPr/>
        <w:t>≥</w:t>
      </w:r>
      <w:r>
        <w:rPr>
          <w:spacing w:val="-105"/>
        </w:rPr>
        <w:t xml:space="preserve"> </w:t>
      </w:r>
      <w:r>
        <w:rPr/>
        <w:t>”“≤</w:t>
      </w:r>
      <w:r>
        <w:rPr>
          <w:spacing w:val="-105"/>
        </w:rPr>
        <w:t xml:space="preserve"> </w:t>
      </w:r>
      <w:r>
        <w:rPr/>
        <w:t>”</w:t>
      </w:r>
      <w:r>
        <w:rPr/>
        <w:t xml:space="preserve"> </w:t>
      </w:r>
      <w:r>
        <w:rPr>
          <w:spacing w:val="-13"/>
        </w:rPr>
        <w:t>“</w:t>
      </w:r>
      <w:r>
        <w:rPr>
          <w:spacing w:val="-100"/>
        </w:rPr>
        <w:t xml:space="preserve"> </w:t>
      </w:r>
      <w:r>
        <w:rPr>
          <w:spacing w:val="-13"/>
        </w:rPr>
        <w:t>＝</w:t>
      </w:r>
      <w:r>
        <w:rPr>
          <w:spacing w:val="-105"/>
        </w:rPr>
        <w:t xml:space="preserve"> </w:t>
      </w:r>
      <w:r>
        <w:rPr>
          <w:spacing w:val="-13"/>
        </w:rPr>
        <w:t>”等。</w:t>
      </w:r>
    </w:p>
    <w:p>
      <w:pPr>
        <w:pStyle w:val="BodyText"/>
        <w:ind w:left="33" w:right="205" w:firstLine="554"/>
        <w:spacing w:before="40" w:line="372" w:lineRule="auto"/>
        <w:jc w:val="both"/>
        <w:rPr/>
      </w:pPr>
      <w:r>
        <w:rPr>
          <w:b/>
          <w:bCs/>
          <w:spacing w:val="-5"/>
        </w:rPr>
        <w:t>3.指标值。</w:t>
      </w:r>
      <w:r>
        <w:rPr>
          <w:spacing w:val="-5"/>
        </w:rPr>
        <w:t>该项指标预期实现或达到的具体值。尽量采取量化方</w:t>
      </w:r>
      <w:r>
        <w:rPr>
          <w:spacing w:val="18"/>
        </w:rPr>
        <w:t xml:space="preserve"> </w:t>
      </w:r>
      <w:r>
        <w:rPr>
          <w:spacing w:val="-4"/>
        </w:rPr>
        <w:t>式填报。确实无法量化的，采取定性方式，例如“高中低</w:t>
      </w:r>
      <w:r>
        <w:rPr>
          <w:spacing w:val="-100"/>
        </w:rPr>
        <w:t xml:space="preserve"> </w:t>
      </w:r>
      <w:r>
        <w:rPr>
          <w:spacing w:val="-4"/>
        </w:rPr>
        <w:t>”等分级，</w:t>
      </w:r>
      <w:r>
        <w:rPr/>
        <w:t xml:space="preserve"> </w:t>
      </w:r>
      <w:r>
        <w:rPr>
          <w:spacing w:val="-1"/>
        </w:rPr>
        <w:t>但应在指标名称中说明定性分级的标准。</w:t>
      </w:r>
    </w:p>
    <w:p>
      <w:pPr>
        <w:pStyle w:val="BodyText"/>
        <w:ind w:left="52" w:right="240" w:firstLine="529"/>
        <w:spacing w:before="49" w:line="368" w:lineRule="auto"/>
        <w:rPr/>
      </w:pPr>
      <w:r>
        <w:rPr>
          <w:b/>
          <w:bCs/>
          <w:spacing w:val="-3"/>
        </w:rPr>
        <w:t>4.度量单位。</w:t>
      </w:r>
      <w:r>
        <w:rPr>
          <w:spacing w:val="-3"/>
        </w:rPr>
        <w:t>该项指标计量单位，例如“个</w:t>
      </w:r>
      <w:r>
        <w:rPr>
          <w:spacing w:val="-103"/>
        </w:rPr>
        <w:t xml:space="preserve"> </w:t>
      </w:r>
      <w:r>
        <w:rPr>
          <w:spacing w:val="-4"/>
        </w:rPr>
        <w:t>”“次</w:t>
      </w:r>
      <w:r>
        <w:rPr>
          <w:spacing w:val="-103"/>
        </w:rPr>
        <w:t xml:space="preserve"> </w:t>
      </w:r>
      <w:r>
        <w:rPr>
          <w:spacing w:val="-4"/>
        </w:rPr>
        <w:t>”“%</w:t>
      </w:r>
      <w:r>
        <w:rPr>
          <w:spacing w:val="-101"/>
        </w:rPr>
        <w:t xml:space="preserve"> </w:t>
      </w:r>
      <w:r>
        <w:rPr>
          <w:spacing w:val="-4"/>
        </w:rPr>
        <w:t>”“小</w:t>
      </w:r>
      <w:r>
        <w:rPr/>
        <w:t xml:space="preserve"> </w:t>
      </w:r>
      <w:r>
        <w:rPr>
          <w:spacing w:val="-19"/>
        </w:rPr>
        <w:t>时</w:t>
      </w:r>
      <w:r>
        <w:rPr>
          <w:spacing w:val="-103"/>
        </w:rPr>
        <w:t xml:space="preserve"> </w:t>
      </w:r>
      <w:r>
        <w:rPr>
          <w:spacing w:val="-19"/>
        </w:rPr>
        <w:t>”等。</w:t>
      </w:r>
    </w:p>
    <w:p>
      <w:pPr>
        <w:pStyle w:val="BodyText"/>
        <w:ind w:left="31" w:right="240" w:firstLine="556"/>
        <w:spacing w:before="46" w:line="377" w:lineRule="auto"/>
        <w:jc w:val="both"/>
        <w:rPr/>
      </w:pPr>
      <w:r>
        <w:rPr>
          <w:b/>
          <w:bCs/>
          <w:spacing w:val="-4"/>
        </w:rPr>
        <w:t>5.权重。</w:t>
      </w:r>
      <w:r>
        <w:rPr>
          <w:spacing w:val="-4"/>
        </w:rPr>
        <w:t>根据项目实际情况确定各项指标权重</w:t>
      </w:r>
      <w:r>
        <w:rPr>
          <w:spacing w:val="-5"/>
        </w:rPr>
        <w:t>。预算执行进度权</w:t>
      </w:r>
      <w:r>
        <w:rPr/>
        <w:t xml:space="preserve"> </w:t>
      </w:r>
      <w:r>
        <w:rPr>
          <w:spacing w:val="-2"/>
        </w:rPr>
        <w:t>重统一为</w:t>
      </w:r>
      <w:r>
        <w:rPr>
          <w:spacing w:val="-40"/>
        </w:rPr>
        <w:t xml:space="preserve"> </w:t>
      </w:r>
      <w:r>
        <w:rPr>
          <w:spacing w:val="-2"/>
        </w:rPr>
        <w:t>10%，原则上一级指标权重统一按</w:t>
      </w:r>
      <w:r>
        <w:rPr>
          <w:spacing w:val="-3"/>
        </w:rPr>
        <w:t>以下方式设置：对于设置</w:t>
      </w:r>
      <w:r>
        <w:rPr/>
        <w:t xml:space="preserve"> </w:t>
      </w:r>
      <w:r>
        <w:rPr>
          <w:spacing w:val="2"/>
        </w:rPr>
        <w:t>成本指标的项目，成本指标</w:t>
      </w:r>
      <w:r>
        <w:rPr>
          <w:spacing w:val="-55"/>
        </w:rPr>
        <w:t xml:space="preserve"> </w:t>
      </w:r>
      <w:r>
        <w:rPr>
          <w:spacing w:val="2"/>
        </w:rPr>
        <w:t>20%，产出指</w:t>
      </w:r>
      <w:r>
        <w:rPr>
          <w:spacing w:val="1"/>
        </w:rPr>
        <w:t>标</w:t>
      </w:r>
      <w:r>
        <w:rPr>
          <w:spacing w:val="-57"/>
        </w:rPr>
        <w:t xml:space="preserve"> </w:t>
      </w:r>
      <w:r>
        <w:rPr>
          <w:spacing w:val="1"/>
        </w:rPr>
        <w:t>40%、效益指标</w:t>
      </w:r>
      <w:r>
        <w:rPr>
          <w:spacing w:val="-53"/>
        </w:rPr>
        <w:t xml:space="preserve"> </w:t>
      </w:r>
      <w:r>
        <w:rPr>
          <w:spacing w:val="1"/>
        </w:rPr>
        <w:t>20%、满</w:t>
      </w:r>
      <w:r>
        <w:rPr/>
        <w:t xml:space="preserve"> </w:t>
      </w:r>
      <w:r>
        <w:rPr>
          <w:spacing w:val="-1"/>
        </w:rPr>
        <w:t>意度指标</w:t>
      </w:r>
      <w:r>
        <w:rPr>
          <w:spacing w:val="-28"/>
        </w:rPr>
        <w:t xml:space="preserve"> </w:t>
      </w:r>
      <w:r>
        <w:rPr>
          <w:spacing w:val="-1"/>
        </w:rPr>
        <w:t>10%；对于未设置成本指标的项目，产出指标</w:t>
      </w:r>
      <w:r>
        <w:rPr>
          <w:spacing w:val="-53"/>
        </w:rPr>
        <w:t xml:space="preserve"> </w:t>
      </w:r>
      <w:r>
        <w:rPr>
          <w:spacing w:val="-1"/>
        </w:rPr>
        <w:t>50%、效益指</w:t>
      </w:r>
      <w:r>
        <w:rPr/>
        <w:t xml:space="preserve"> </w:t>
      </w:r>
      <w:r>
        <w:rPr>
          <w:spacing w:val="-1"/>
        </w:rPr>
        <w:t>标</w:t>
      </w:r>
      <w:r>
        <w:rPr>
          <w:spacing w:val="-41"/>
        </w:rPr>
        <w:t xml:space="preserve"> </w:t>
      </w:r>
      <w:r>
        <w:rPr>
          <w:spacing w:val="-1"/>
        </w:rPr>
        <w:t>30%、满意度指标</w:t>
      </w:r>
      <w:r>
        <w:rPr>
          <w:spacing w:val="-40"/>
        </w:rPr>
        <w:t xml:space="preserve"> </w:t>
      </w:r>
      <w:r>
        <w:rPr>
          <w:spacing w:val="-1"/>
        </w:rPr>
        <w:t>10%；对于不需设置满意度指标的项目，效益指</w:t>
      </w:r>
      <w:r>
        <w:rPr/>
        <w:t xml:space="preserve"> </w:t>
      </w:r>
      <w:r>
        <w:rPr>
          <w:spacing w:val="-4"/>
        </w:rPr>
        <w:t>标分值权重相应可调增</w:t>
      </w:r>
      <w:r>
        <w:rPr>
          <w:spacing w:val="-32"/>
        </w:rPr>
        <w:t xml:space="preserve"> </w:t>
      </w:r>
      <w:r>
        <w:rPr>
          <w:spacing w:val="-4"/>
        </w:rPr>
        <w:t>10%。</w:t>
      </w:r>
    </w:p>
    <w:p>
      <w:pPr>
        <w:pStyle w:val="BodyText"/>
        <w:ind w:left="460"/>
        <w:spacing w:before="45" w:line="223" w:lineRule="auto"/>
        <w:outlineLvl w:val="1"/>
        <w:rPr/>
      </w:pPr>
      <w:r>
        <w:rPr>
          <w:b/>
          <w:bCs/>
          <w:spacing w:val="-17"/>
        </w:rPr>
        <w:t>三、</w:t>
      </w:r>
      <w:r>
        <w:rPr>
          <w:spacing w:val="-79"/>
        </w:rPr>
        <w:t xml:space="preserve"> </w:t>
      </w:r>
      <w:r>
        <w:rPr>
          <w:b/>
          <w:bCs/>
          <w:spacing w:val="-17"/>
        </w:rPr>
        <w:t>申报审批</w:t>
      </w:r>
    </w:p>
    <w:p>
      <w:pPr>
        <w:pStyle w:val="BodyText"/>
        <w:ind w:left="32" w:right="240" w:firstLine="560"/>
        <w:spacing w:before="242" w:line="372" w:lineRule="auto"/>
        <w:jc w:val="both"/>
        <w:rPr/>
      </w:pPr>
      <w:r>
        <w:rPr>
          <w:spacing w:val="-4"/>
        </w:rPr>
        <w:t>项目的建设需要各部门（系）院党政联席会议审核，由所在</w:t>
      </w:r>
      <w:r>
        <w:rPr>
          <w:spacing w:val="-5"/>
        </w:rPr>
        <w:t>各部</w:t>
      </w:r>
      <w:r>
        <w:rPr/>
        <w:t xml:space="preserve"> </w:t>
      </w:r>
      <w:r>
        <w:rPr>
          <w:spacing w:val="-4"/>
        </w:rPr>
        <w:t>门（系）院经办人、党（政）负责人签字并加盖部门公章，报分管院</w:t>
      </w:r>
      <w:r>
        <w:rPr>
          <w:spacing w:val="7"/>
        </w:rPr>
        <w:t xml:space="preserve"> </w:t>
      </w:r>
      <w:r>
        <w:rPr>
          <w:spacing w:val="-1"/>
        </w:rPr>
        <w:t>领导审批，最后由归口管理部门纳入项目分库管理。</w:t>
      </w:r>
    </w:p>
    <w:p>
      <w:pPr>
        <w:pStyle w:val="BodyText"/>
        <w:ind w:left="31" w:right="240" w:firstLine="575"/>
        <w:spacing w:before="205" w:line="365" w:lineRule="auto"/>
        <w:rPr/>
      </w:pPr>
      <w:r>
        <w:rPr>
          <w:spacing w:val="3"/>
        </w:rPr>
        <w:t>归</w:t>
      </w:r>
      <w:r>
        <w:rPr>
          <w:spacing w:val="-64"/>
        </w:rPr>
        <w:t xml:space="preserve"> </w:t>
      </w:r>
      <w:r>
        <w:rPr>
          <w:spacing w:val="3"/>
        </w:rPr>
        <w:t>口部门统筹立项的项目建设，需要归口部门党政</w:t>
      </w:r>
      <w:r>
        <w:rPr>
          <w:spacing w:val="2"/>
        </w:rPr>
        <w:t>联席会议审</w:t>
      </w:r>
      <w:r>
        <w:rPr/>
        <w:t xml:space="preserve"> </w:t>
      </w:r>
      <w:r>
        <w:rPr>
          <w:spacing w:val="-4"/>
        </w:rPr>
        <w:t>核，由其经办人，党（政）负责人签字并加盖部门公章，报分管院领</w:t>
      </w:r>
    </w:p>
    <w:p>
      <w:pPr>
        <w:spacing w:line="365" w:lineRule="auto"/>
        <w:sectPr>
          <w:pgSz w:w="11906" w:h="16839"/>
          <w:pgMar w:top="1431" w:right="1558" w:bottom="0" w:left="1785" w:header="0" w:footer="0" w:gutter="0"/>
        </w:sectPr>
        <w:rPr/>
      </w:pPr>
    </w:p>
    <w:p>
      <w:pPr>
        <w:pStyle w:val="BodyText"/>
        <w:ind w:left="34"/>
        <w:spacing w:before="231" w:line="222" w:lineRule="auto"/>
        <w:rPr/>
      </w:pPr>
      <w:r>
        <w:rPr>
          <w:spacing w:val="-2"/>
        </w:rPr>
        <w:t>导审批，最后由财务部门纳入总库管理。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terms:created xsi:type="dcterms:W3CDTF">2023-06-19T10:24:04Z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2024-06-17T17:18:49</vt:filetime>
  </property>
</Properties>
</file>