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40"/>
        <w:spacing w:before="284" w:line="222" w:lineRule="auto"/>
        <w:rPr>
          <w:sz w:val="24"/>
          <w:szCs w:val="24"/>
        </w:rPr>
      </w:pPr>
      <w:r>
        <w:rPr>
          <w:sz w:val="24"/>
          <w:szCs w:val="24"/>
          <w:spacing w:val="-9"/>
        </w:rPr>
        <w:t>附件</w:t>
      </w:r>
      <w:r>
        <w:rPr>
          <w:sz w:val="24"/>
          <w:szCs w:val="24"/>
          <w:spacing w:val="-52"/>
        </w:rPr>
        <w:t xml:space="preserve"> </w:t>
      </w:r>
      <w:r>
        <w:rPr>
          <w:sz w:val="24"/>
          <w:szCs w:val="24"/>
          <w:spacing w:val="-9"/>
        </w:rPr>
        <w:t>4：</w:t>
      </w:r>
    </w:p>
    <w:p>
      <w:pPr>
        <w:ind w:left="1775"/>
        <w:spacing w:before="170" w:line="217" w:lineRule="auto"/>
        <w:outlineLvl w:val="0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b/>
          <w:bCs/>
          <w:spacing w:val="-5"/>
        </w:rPr>
        <w:t>预算项目事前绩效评估报告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739"/>
        <w:spacing w:before="100" w:line="227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一、项目基本情况</w:t>
      </w:r>
    </w:p>
    <w:p>
      <w:pPr>
        <w:ind w:left="603"/>
        <w:spacing w:before="251" w:line="236" w:lineRule="auto"/>
        <w:outlineLvl w:val="2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b/>
          <w:bCs/>
          <w:spacing w:val="-15"/>
        </w:rPr>
        <w:t>（一）项</w:t>
      </w:r>
      <w:r>
        <w:rPr>
          <w:rFonts w:ascii="KaiTi" w:hAnsi="KaiTi" w:eastAsia="KaiTi" w:cs="KaiTi"/>
          <w:sz w:val="28"/>
          <w:szCs w:val="28"/>
          <w:spacing w:val="-66"/>
        </w:rPr>
        <w:t xml:space="preserve"> </w:t>
      </w:r>
      <w:r>
        <w:rPr>
          <w:rFonts w:ascii="KaiTi" w:hAnsi="KaiTi" w:eastAsia="KaiTi" w:cs="KaiTi"/>
          <w:sz w:val="28"/>
          <w:szCs w:val="28"/>
          <w:b/>
          <w:bCs/>
          <w:spacing w:val="-15"/>
        </w:rPr>
        <w:t>目名称：</w:t>
      </w:r>
      <w:r>
        <w:rPr>
          <w:rFonts w:ascii="KaiTi" w:hAnsi="KaiTi" w:eastAsia="KaiTi" w:cs="KaiTi"/>
          <w:sz w:val="28"/>
          <w:szCs w:val="28"/>
          <w:u w:val="single" w:color="auto"/>
        </w:rPr>
        <w:t xml:space="preserve">                               </w:t>
      </w:r>
    </w:p>
    <w:p>
      <w:pPr>
        <w:ind w:left="603"/>
        <w:spacing w:before="241" w:line="224" w:lineRule="auto"/>
        <w:outlineLvl w:val="2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b/>
          <w:bCs/>
          <w:spacing w:val="-5"/>
        </w:rPr>
        <w:t>（二）各部门（系）院：</w:t>
      </w:r>
      <w:r>
        <w:rPr>
          <w:rFonts w:ascii="KaiTi" w:hAnsi="KaiTi" w:eastAsia="KaiTi" w:cs="KaiTi"/>
          <w:sz w:val="28"/>
          <w:szCs w:val="28"/>
          <w:u w:val="single" w:color="auto"/>
        </w:rPr>
        <w:t xml:space="preserve">                        </w:t>
      </w:r>
    </w:p>
    <w:p>
      <w:pPr>
        <w:ind w:left="603"/>
        <w:spacing w:before="260" w:line="224" w:lineRule="auto"/>
        <w:outlineLvl w:val="2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b/>
          <w:bCs/>
          <w:spacing w:val="-5"/>
        </w:rPr>
        <w:t>（三）归口管理部门：</w:t>
      </w:r>
      <w:r>
        <w:rPr>
          <w:rFonts w:ascii="KaiTi" w:hAnsi="KaiTi" w:eastAsia="KaiTi" w:cs="KaiTi"/>
          <w:sz w:val="28"/>
          <w:szCs w:val="28"/>
          <w:u w:val="single" w:color="auto"/>
        </w:rPr>
        <w:t xml:space="preserve">                           </w:t>
      </w:r>
    </w:p>
    <w:p>
      <w:pPr>
        <w:pStyle w:val="BodyText"/>
        <w:ind w:left="603"/>
        <w:spacing w:before="261" w:line="224" w:lineRule="auto"/>
        <w:rPr/>
      </w:pPr>
      <w:r>
        <w:rPr>
          <w:rFonts w:ascii="KaiTi" w:hAnsi="KaiTi" w:eastAsia="KaiTi" w:cs="KaiTi"/>
          <w:b/>
          <w:bCs/>
          <w:spacing w:val="-3"/>
        </w:rPr>
        <w:t>（四）项目属性：</w:t>
      </w:r>
      <w:r>
        <w:rPr>
          <w:u w:val="single" w:color="auto"/>
          <w:spacing w:val="-3"/>
        </w:rPr>
        <w:t>延续性项目或新增项目</w:t>
      </w:r>
      <w:r>
        <w:rPr>
          <w:u w:val="single" w:color="auto"/>
        </w:rPr>
        <w:t xml:space="preserve">          </w:t>
      </w:r>
    </w:p>
    <w:p>
      <w:pPr>
        <w:pStyle w:val="BodyText"/>
        <w:ind w:left="603"/>
        <w:spacing w:before="259" w:line="226" w:lineRule="auto"/>
        <w:rPr/>
      </w:pPr>
      <w:r>
        <w:rPr>
          <w:rFonts w:ascii="KaiTi" w:hAnsi="KaiTi" w:eastAsia="KaiTi" w:cs="KaiTi"/>
          <w:b/>
          <w:bCs/>
          <w:spacing w:val="-4"/>
        </w:rPr>
        <w:t>（五）项目起止年限：</w:t>
      </w:r>
      <w:r>
        <w:rPr>
          <w:rFonts w:ascii="Times New Roman" w:hAnsi="Times New Roman" w:eastAsia="Times New Roman" w:cs="Times New Roman"/>
          <w:u w:val="single" w:color="auto"/>
          <w:spacing w:val="-4"/>
        </w:rPr>
        <w:t>20    </w:t>
      </w:r>
      <w:r>
        <w:rPr>
          <w:u w:val="single" w:color="auto"/>
          <w:spacing w:val="-4"/>
        </w:rPr>
        <w:t>年—</w:t>
      </w:r>
      <w:r>
        <w:rPr>
          <w:rFonts w:ascii="Times New Roman" w:hAnsi="Times New Roman" w:eastAsia="Times New Roman" w:cs="Times New Roman"/>
          <w:u w:val="single" w:color="auto"/>
          <w:spacing w:val="-4"/>
        </w:rPr>
        <w:t>20</w:t>
      </w:r>
      <w:r>
        <w:rPr>
          <w:rFonts w:ascii="Times New Roman" w:hAnsi="Times New Roman" w:eastAsia="Times New Roman" w:cs="Times New Roman"/>
          <w:u w:val="single" w:color="auto"/>
          <w:spacing w:val="8"/>
        </w:rPr>
        <w:t xml:space="preserve">    </w:t>
      </w:r>
      <w:r>
        <w:rPr>
          <w:u w:val="single" w:color="auto"/>
          <w:spacing w:val="-4"/>
        </w:rPr>
        <w:t>年</w:t>
      </w:r>
      <w:r>
        <w:rPr>
          <w:u w:val="single" w:color="auto"/>
        </w:rPr>
        <w:t xml:space="preserve">            </w:t>
      </w:r>
    </w:p>
    <w:p>
      <w:pPr>
        <w:pStyle w:val="BodyText"/>
        <w:ind w:left="603"/>
        <w:spacing w:before="258" w:line="226" w:lineRule="auto"/>
        <w:rPr/>
      </w:pPr>
      <w:r>
        <w:rPr>
          <w:rFonts w:ascii="KaiTi" w:hAnsi="KaiTi" w:eastAsia="KaiTi" w:cs="KaiTi"/>
          <w:b/>
          <w:bCs/>
          <w:spacing w:val="-5"/>
        </w:rPr>
        <w:t>（六）资金申请情况：</w:t>
      </w:r>
      <w:r>
        <w:rPr>
          <w:rFonts w:ascii="KaiTi" w:hAnsi="KaiTi" w:eastAsia="KaiTi" w:cs="KaiTi"/>
          <w:spacing w:val="-81"/>
        </w:rPr>
        <w:t xml:space="preserve"> </w:t>
      </w:r>
      <w:r>
        <w:rPr>
          <w:spacing w:val="-5"/>
        </w:rPr>
        <w:t>申报项目预算金额为</w:t>
      </w:r>
      <w:r>
        <w:rPr>
          <w:u w:val="single" w:color="auto"/>
          <w:spacing w:val="-5"/>
        </w:rPr>
        <w:t xml:space="preserve">    </w:t>
      </w:r>
      <w:r>
        <w:rPr>
          <w:spacing w:val="-118"/>
        </w:rPr>
        <w:t xml:space="preserve"> </w:t>
      </w:r>
      <w:r>
        <w:rPr>
          <w:spacing w:val="-5"/>
        </w:rPr>
        <w:t>万元。</w:t>
      </w:r>
    </w:p>
    <w:p>
      <w:pPr>
        <w:pStyle w:val="BodyText"/>
        <w:ind w:left="82" w:right="77" w:firstLine="521"/>
        <w:spacing w:before="256" w:line="309" w:lineRule="auto"/>
        <w:rPr/>
      </w:pPr>
      <w:r>
        <w:rPr>
          <w:rFonts w:ascii="KaiTi" w:hAnsi="KaiTi" w:eastAsia="KaiTi" w:cs="KaiTi"/>
          <w:b/>
          <w:bCs/>
          <w:spacing w:val="-2"/>
        </w:rPr>
        <w:t>（七）项</w:t>
      </w:r>
      <w:r>
        <w:rPr>
          <w:rFonts w:ascii="KaiTi" w:hAnsi="KaiTi" w:eastAsia="KaiTi" w:cs="KaiTi"/>
          <w:spacing w:val="-66"/>
        </w:rPr>
        <w:t xml:space="preserve"> </w:t>
      </w:r>
      <w:r>
        <w:rPr>
          <w:rFonts w:ascii="KaiTi" w:hAnsi="KaiTi" w:eastAsia="KaiTi" w:cs="KaiTi"/>
          <w:b/>
          <w:bCs/>
          <w:spacing w:val="-2"/>
        </w:rPr>
        <w:t>目概况</w:t>
      </w:r>
      <w:r>
        <w:rPr>
          <w:rFonts w:ascii="KaiTi" w:hAnsi="KaiTi" w:eastAsia="KaiTi" w:cs="KaiTi"/>
          <w:b/>
          <w:bCs/>
          <w:spacing w:val="-85"/>
        </w:rPr>
        <w:t>：</w:t>
      </w:r>
      <w:r>
        <w:rPr>
          <w:spacing w:val="-85"/>
        </w:rPr>
        <w:t>（</w:t>
      </w:r>
      <w:r>
        <w:rPr>
          <w:spacing w:val="-2"/>
        </w:rPr>
        <w:t>介绍项目主要任务或主要内容等，延续性项</w:t>
      </w:r>
      <w:r>
        <w:rPr/>
        <w:t xml:space="preserve"> </w:t>
      </w:r>
      <w:r>
        <w:rPr>
          <w:spacing w:val="-3"/>
        </w:rPr>
        <w:t>目应将近三年预算安排情况与执行情况等简单描述）</w:t>
      </w:r>
    </w:p>
    <w:p>
      <w:pPr>
        <w:pStyle w:val="BodyText"/>
        <w:ind w:left="20" w:firstLine="570"/>
        <w:spacing w:before="265" w:line="388" w:lineRule="auto"/>
        <w:jc w:val="both"/>
        <w:rPr/>
      </w:pPr>
      <w:r>
        <w:rPr>
          <w:spacing w:val="-1"/>
        </w:rPr>
        <w:t>例：本项目的主要内容是</w:t>
      </w:r>
      <w:r>
        <w:rPr>
          <w:u w:val="single" w:color="auto"/>
          <w:spacing w:val="-1"/>
        </w:rPr>
        <w:t xml:space="preserve">         </w:t>
      </w:r>
      <w:r>
        <w:rPr>
          <w:u w:val="single" w:color="auto"/>
          <w:spacing w:val="-2"/>
        </w:rPr>
        <w:t xml:space="preserve">                </w:t>
      </w:r>
      <w:r>
        <w:rPr>
          <w:spacing w:val="-2"/>
        </w:rPr>
        <w:t>。</w:t>
      </w:r>
      <w:r>
        <w:rPr>
          <w:rFonts w:ascii="Times New Roman" w:hAnsi="Times New Roman" w:eastAsia="Times New Roman" w:cs="Times New Roman"/>
          <w:spacing w:val="-2"/>
        </w:rPr>
        <w:t>2020</w:t>
      </w:r>
      <w:r>
        <w:rPr>
          <w:rFonts w:ascii="Times New Roman" w:hAnsi="Times New Roman" w:eastAsia="Times New Roman" w:cs="Times New Roman"/>
          <w:spacing w:val="22"/>
          <w:w w:val="101"/>
        </w:rPr>
        <w:t xml:space="preserve"> </w:t>
      </w:r>
      <w:r>
        <w:rPr>
          <w:spacing w:val="-2"/>
        </w:rPr>
        <w:t>年</w:t>
      </w:r>
      <w:r>
        <w:rPr/>
        <w:t xml:space="preserve"> </w:t>
      </w:r>
      <w:r>
        <w:rPr>
          <w:spacing w:val="-10"/>
        </w:rPr>
        <w:t>预算安排</w:t>
      </w:r>
      <w:r>
        <w:rPr>
          <w:u w:val="single" w:color="auto"/>
          <w:spacing w:val="-10"/>
        </w:rPr>
        <w:t xml:space="preserve">     </w:t>
      </w:r>
      <w:r>
        <w:rPr>
          <w:spacing w:val="-118"/>
        </w:rPr>
        <w:t xml:space="preserve"> </w:t>
      </w:r>
      <w:r>
        <w:rPr>
          <w:spacing w:val="-10"/>
        </w:rPr>
        <w:t>万元，实际执行</w:t>
      </w:r>
      <w:r>
        <w:rPr>
          <w:u w:val="single" w:color="auto"/>
          <w:spacing w:val="34"/>
        </w:rPr>
        <w:t xml:space="preserve">    </w:t>
      </w:r>
      <w:r>
        <w:rPr>
          <w:spacing w:val="-117"/>
        </w:rPr>
        <w:t xml:space="preserve"> </w:t>
      </w:r>
      <w:r>
        <w:rPr>
          <w:spacing w:val="-10"/>
        </w:rPr>
        <w:t>万元；</w:t>
      </w:r>
      <w:r>
        <w:rPr>
          <w:rFonts w:ascii="Times New Roman" w:hAnsi="Times New Roman" w:eastAsia="Times New Roman" w:cs="Times New Roman"/>
          <w:spacing w:val="-10"/>
        </w:rPr>
        <w:t>2021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-10"/>
        </w:rPr>
        <w:t>年</w:t>
      </w:r>
      <w:r>
        <w:rPr>
          <w:rFonts w:ascii="Times New Roman" w:hAnsi="Times New Roman" w:eastAsia="Times New Roman" w:cs="Times New Roman"/>
          <w:spacing w:val="-10"/>
        </w:rPr>
        <w:t>...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...</w:t>
      </w:r>
      <w:r>
        <w:rPr>
          <w:spacing w:val="-10"/>
        </w:rPr>
        <w:t>；</w:t>
      </w:r>
      <w:r>
        <w:rPr>
          <w:rFonts w:ascii="Times New Roman" w:hAnsi="Times New Roman" w:eastAsia="Times New Roman" w:cs="Times New Roman"/>
          <w:spacing w:val="-10"/>
        </w:rPr>
        <w:t>2022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-10"/>
        </w:rPr>
        <w:t>年</w:t>
      </w:r>
      <w:r>
        <w:rPr>
          <w:rFonts w:ascii="Times New Roman" w:hAnsi="Times New Roman" w:eastAsia="Times New Roman" w:cs="Times New Roman"/>
          <w:spacing w:val="-10"/>
        </w:rPr>
        <w:t>...</w:t>
      </w:r>
      <w:r>
        <w:rPr>
          <w:rFonts w:ascii="Times New Roman" w:hAnsi="Times New Roman" w:eastAsia="Times New Roman" w:cs="Times New Roman"/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...</w:t>
      </w:r>
      <w:r>
        <w:rPr>
          <w:spacing w:val="-10"/>
        </w:rPr>
        <w:t>；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2"/>
        </w:rPr>
        <w:t>2023</w:t>
      </w:r>
      <w:r>
        <w:rPr>
          <w:rFonts w:ascii="Times New Roman" w:hAnsi="Times New Roman" w:eastAsia="Times New Roman" w:cs="Times New Roman"/>
          <w:spacing w:val="24"/>
          <w:w w:val="101"/>
        </w:rPr>
        <w:t xml:space="preserve"> </w:t>
      </w:r>
      <w:r>
        <w:rPr>
          <w:spacing w:val="-2"/>
        </w:rPr>
        <w:t>年拟申请资金预算</w:t>
      </w:r>
      <w:r>
        <w:rPr>
          <w:u w:val="single" w:color="auto"/>
          <w:spacing w:val="-2"/>
        </w:rPr>
        <w:t xml:space="preserve">     </w:t>
      </w:r>
      <w:r>
        <w:rPr>
          <w:spacing w:val="-119"/>
        </w:rPr>
        <w:t xml:space="preserve"> </w:t>
      </w:r>
      <w:r>
        <w:rPr>
          <w:spacing w:val="-2"/>
        </w:rPr>
        <w:t>万元，较上年增长</w:t>
      </w:r>
      <w:r>
        <w:rPr>
          <w:rFonts w:ascii="Times New Roman" w:hAnsi="Times New Roman" w:eastAsia="Times New Roman" w:cs="Times New Roman"/>
          <w:spacing w:val="-2"/>
        </w:rPr>
        <w:t>/</w:t>
      </w:r>
      <w:r>
        <w:rPr>
          <w:spacing w:val="-2"/>
        </w:rPr>
        <w:t>减少</w:t>
      </w:r>
      <w:r>
        <w:rPr>
          <w:u w:val="single" w:color="auto"/>
          <w:spacing w:val="-2"/>
        </w:rPr>
        <w:t xml:space="preserve">     </w:t>
      </w:r>
      <w:r>
        <w:rPr>
          <w:spacing w:val="-119"/>
        </w:rPr>
        <w:t xml:space="preserve"> </w:t>
      </w:r>
      <w:r>
        <w:rPr>
          <w:spacing w:val="-2"/>
        </w:rPr>
        <w:t>万元，较</w:t>
      </w:r>
      <w:r>
        <w:rPr/>
        <w:t xml:space="preserve"> </w:t>
      </w:r>
      <w:r>
        <w:rPr>
          <w:spacing w:val="-3"/>
        </w:rPr>
        <w:t>上年增长</w:t>
      </w:r>
      <w:r>
        <w:rPr>
          <w:rFonts w:ascii="Times New Roman" w:hAnsi="Times New Roman" w:eastAsia="Times New Roman" w:cs="Times New Roman"/>
          <w:spacing w:val="-3"/>
        </w:rPr>
        <w:t>/</w:t>
      </w:r>
      <w:r>
        <w:rPr>
          <w:spacing w:val="-3"/>
        </w:rPr>
        <w:t>减少</w:t>
      </w:r>
      <w:r>
        <w:rPr>
          <w:u w:val="single" w:color="auto"/>
          <w:spacing w:val="-3"/>
        </w:rPr>
        <w:t xml:space="preserve">   </w:t>
      </w:r>
      <w:r>
        <w:rPr>
          <w:spacing w:val="-119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%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3"/>
        </w:rPr>
        <w:t>，增加</w:t>
      </w:r>
      <w:r>
        <w:rPr>
          <w:rFonts w:ascii="Times New Roman" w:hAnsi="Times New Roman" w:eastAsia="Times New Roman" w:cs="Times New Roman"/>
          <w:spacing w:val="-3"/>
        </w:rPr>
        <w:t>/</w:t>
      </w:r>
      <w:r>
        <w:rPr>
          <w:spacing w:val="-3"/>
        </w:rPr>
        <w:t>减少的主要原因为</w:t>
      </w:r>
      <w:r>
        <w:rPr>
          <w:u w:val="single" w:color="auto"/>
        </w:rPr>
        <w:t xml:space="preserve">              </w:t>
      </w:r>
    </w:p>
    <w:p>
      <w:pPr>
        <w:ind w:left="588"/>
        <w:spacing w:before="45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二、评估原则</w:t>
      </w:r>
    </w:p>
    <w:p>
      <w:pPr>
        <w:pStyle w:val="BodyText"/>
        <w:ind w:left="37" w:right="42" w:firstLine="555"/>
        <w:spacing w:before="263" w:line="385" w:lineRule="auto"/>
        <w:jc w:val="both"/>
        <w:rPr/>
      </w:pPr>
      <w:r>
        <w:rPr>
          <w:spacing w:val="-4"/>
        </w:rPr>
        <w:t>根据</w:t>
      </w:r>
      <w:r>
        <w:rPr>
          <w:u w:val="single" w:color="auto"/>
          <w:spacing w:val="-4"/>
        </w:rPr>
        <w:t xml:space="preserve">    </w:t>
      </w:r>
      <w:r>
        <w:rPr>
          <w:spacing w:val="-99"/>
        </w:rPr>
        <w:t xml:space="preserve"> </w:t>
      </w:r>
      <w:r>
        <w:rPr>
          <w:spacing w:val="-4"/>
        </w:rPr>
        <w:t>年预算编制要求，绩效评估本着真正过紧日子的原则，</w:t>
      </w:r>
      <w:r>
        <w:rPr/>
        <w:t xml:space="preserve"> </w:t>
      </w:r>
      <w:r>
        <w:rPr>
          <w:spacing w:val="-4"/>
        </w:rPr>
        <w:t>厉行节约、节用为民，从严从紧控制项目申报和预算安排，非必要项</w:t>
      </w:r>
      <w:r>
        <w:rPr>
          <w:spacing w:val="2"/>
        </w:rPr>
        <w:t xml:space="preserve"> </w:t>
      </w:r>
      <w:r>
        <w:rPr>
          <w:spacing w:val="-1"/>
        </w:rPr>
        <w:t>目和工作内容可压尽压、应压尽压，做到客观、绩效、精准。</w:t>
      </w:r>
    </w:p>
    <w:p>
      <w:pPr>
        <w:ind w:left="589"/>
        <w:spacing w:before="49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三、评估目的</w:t>
      </w:r>
    </w:p>
    <w:p>
      <w:pPr>
        <w:pStyle w:val="BodyText"/>
        <w:ind w:left="29" w:right="77" w:firstLine="716"/>
        <w:spacing w:before="262" w:line="380" w:lineRule="auto"/>
        <w:rPr/>
      </w:pPr>
      <w:r>
        <w:rPr>
          <w:spacing w:val="-1"/>
        </w:rPr>
        <w:t>通过事前绩效评估将绩效管理关口前移，为项目设立和预算安</w:t>
      </w:r>
      <w:r>
        <w:rPr>
          <w:spacing w:val="4"/>
        </w:rPr>
        <w:t xml:space="preserve"> </w:t>
      </w:r>
      <w:r>
        <w:rPr>
          <w:spacing w:val="-4"/>
        </w:rPr>
        <w:t>排提供重要参考依据，提高预算编制科学性、合理性，优化财政支出</w:t>
      </w:r>
    </w:p>
    <w:p>
      <w:pPr>
        <w:spacing w:line="380" w:lineRule="auto"/>
        <w:sectPr>
          <w:pgSz w:w="11906" w:h="16839"/>
          <w:pgMar w:top="1431" w:right="1722" w:bottom="0" w:left="1785" w:header="0" w:footer="0" w:gutter="0"/>
        </w:sectPr>
        <w:rPr/>
      </w:pPr>
    </w:p>
    <w:p>
      <w:pPr>
        <w:pStyle w:val="BodyText"/>
        <w:ind w:left="41" w:right="80" w:hanging="3"/>
        <w:spacing w:before="247" w:line="381" w:lineRule="auto"/>
        <w:rPr/>
      </w:pPr>
      <w:r>
        <w:rPr>
          <w:spacing w:val="-4"/>
        </w:rPr>
        <w:t>结构，从源头上防控财政资源配置的低效无效，提高财政资源配置效</w:t>
      </w:r>
      <w:r>
        <w:rPr>
          <w:spacing w:val="1"/>
        </w:rPr>
        <w:t xml:space="preserve"> </w:t>
      </w:r>
      <w:r>
        <w:rPr>
          <w:spacing w:val="-3"/>
        </w:rPr>
        <w:t>率和财政资金使用效益。</w:t>
      </w:r>
    </w:p>
    <w:p>
      <w:pPr>
        <w:ind w:left="749"/>
        <w:spacing w:before="44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四、评估程序和方法</w:t>
      </w:r>
    </w:p>
    <w:p>
      <w:pPr>
        <w:ind w:left="603"/>
        <w:spacing w:before="263" w:line="224" w:lineRule="auto"/>
        <w:outlineLvl w:val="2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b/>
          <w:bCs/>
          <w:spacing w:val="-7"/>
        </w:rPr>
        <w:t>（一）评估程序</w:t>
      </w:r>
    </w:p>
    <w:p>
      <w:pPr>
        <w:pStyle w:val="BodyText"/>
        <w:ind w:left="32" w:firstLine="540"/>
        <w:spacing w:before="262" w:line="389" w:lineRule="auto"/>
        <w:tabs>
          <w:tab w:val="left" w:pos="1274"/>
        </w:tabs>
        <w:jc w:val="both"/>
        <w:rPr/>
      </w:pPr>
      <w:r>
        <w:rPr>
          <w:u w:val="single" w:color="auto"/>
        </w:rPr>
        <w:tab/>
      </w:r>
      <w:r>
        <w:rPr>
          <w:spacing w:val="-116"/>
        </w:rPr>
        <w:t xml:space="preserve"> </w:t>
      </w:r>
      <w:r>
        <w:rPr>
          <w:spacing w:val="9"/>
        </w:rPr>
        <w:t>年度预算项目绩效评估工作通过</w:t>
      </w:r>
      <w:r>
        <w:rPr>
          <w:u w:val="single" w:color="auto"/>
          <w:spacing w:val="9"/>
        </w:rPr>
        <w:t>线上与线下相结合</w:t>
      </w:r>
      <w:r>
        <w:rPr>
          <w:rFonts w:ascii="Times New Roman" w:hAnsi="Times New Roman" w:eastAsia="Times New Roman" w:cs="Times New Roman"/>
          <w:u w:val="single" w:color="auto"/>
          <w:spacing w:val="9"/>
        </w:rPr>
        <w:t>/</w:t>
      </w:r>
      <w:r>
        <w:rPr>
          <w:u w:val="single" w:color="auto"/>
          <w:spacing w:val="8"/>
        </w:rPr>
        <w:t>……</w:t>
      </w:r>
      <w:r>
        <w:rPr/>
        <w:t xml:space="preserve"> </w:t>
      </w:r>
      <w:r>
        <w:rPr>
          <w:spacing w:val="-4"/>
        </w:rPr>
        <w:t>方式开展。按照有关规定和工作安排，我单位开展自行评估，通过</w:t>
      </w:r>
      <w:r>
        <w:rPr>
          <w:u w:val="single" w:color="auto"/>
          <w:spacing w:val="-4"/>
        </w:rPr>
        <w:t>自</w:t>
      </w:r>
      <w:r>
        <w:rPr>
          <w:spacing w:val="7"/>
        </w:rPr>
        <w:t xml:space="preserve"> </w:t>
      </w:r>
      <w:r>
        <w:rPr>
          <w:u w:val="single" w:color="auto"/>
        </w:rPr>
        <w:t>行成立</w:t>
      </w:r>
      <w:r>
        <w:rPr>
          <w:rFonts w:ascii="Times New Roman" w:hAnsi="Times New Roman" w:eastAsia="Times New Roman" w:cs="Times New Roman"/>
          <w:u w:val="single" w:color="auto"/>
        </w:rPr>
        <w:t>/</w:t>
      </w:r>
      <w:r>
        <w:rPr>
          <w:u w:val="single" w:color="auto"/>
        </w:rPr>
        <w:t>委托下级单位成立</w:t>
      </w:r>
      <w:r>
        <w:rPr>
          <w:rFonts w:ascii="Times New Roman" w:hAnsi="Times New Roman" w:eastAsia="Times New Roman" w:cs="Times New Roman"/>
          <w:u w:val="single" w:color="auto"/>
        </w:rPr>
        <w:t>/</w:t>
      </w:r>
      <w:r>
        <w:rPr>
          <w:u w:val="single" w:color="auto"/>
        </w:rPr>
        <w:t>……等</w:t>
      </w:r>
      <w:r>
        <w:rPr/>
        <w:t>方式组建评估组，通过收集被评估</w:t>
      </w:r>
      <w:r>
        <w:rPr>
          <w:spacing w:val="11"/>
        </w:rPr>
        <w:t xml:space="preserve"> </w:t>
      </w:r>
      <w:r>
        <w:rPr>
          <w:spacing w:val="-10"/>
        </w:rPr>
        <w:t>项目相关基础资料，并查阅资料、收集数据信息等，深入论证分</w:t>
      </w:r>
      <w:r>
        <w:rPr>
          <w:spacing w:val="-11"/>
        </w:rPr>
        <w:t>析后，</w:t>
      </w:r>
      <w:r>
        <w:rPr/>
        <w:t xml:space="preserve"> </w:t>
      </w:r>
      <w:r>
        <w:rPr>
          <w:spacing w:val="-2"/>
        </w:rPr>
        <w:t>形成绩效评估报告。</w:t>
      </w:r>
    </w:p>
    <w:p>
      <w:pPr>
        <w:ind w:left="603"/>
        <w:spacing w:before="47" w:line="224" w:lineRule="auto"/>
        <w:outlineLvl w:val="2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b/>
          <w:bCs/>
          <w:spacing w:val="-7"/>
        </w:rPr>
        <w:t>（二）评估方法</w:t>
      </w:r>
    </w:p>
    <w:p>
      <w:pPr>
        <w:pStyle w:val="BodyText"/>
        <w:ind w:left="32" w:right="80" w:firstLine="560"/>
        <w:spacing w:before="259" w:line="388" w:lineRule="auto"/>
        <w:jc w:val="both"/>
        <w:rPr/>
      </w:pPr>
      <w:r>
        <w:rPr>
          <w:spacing w:val="-4"/>
        </w:rPr>
        <w:t>本项目通过</w:t>
      </w:r>
      <w:r>
        <w:rPr>
          <w:u w:val="single" w:color="auto"/>
          <w:spacing w:val="-4"/>
        </w:rPr>
        <w:t>现场踏勘、与项目相关人员座谈或讨论、聘请相</w:t>
      </w:r>
      <w:r>
        <w:rPr>
          <w:u w:val="single" w:color="auto"/>
          <w:spacing w:val="-5"/>
        </w:rPr>
        <w:t>关专</w:t>
      </w:r>
      <w:r>
        <w:rPr/>
        <w:t xml:space="preserve"> </w:t>
      </w:r>
      <w:r>
        <w:rPr>
          <w:u w:val="single" w:color="auto"/>
          <w:spacing w:val="-4"/>
        </w:rPr>
        <w:t>业专家、市场调研等方法</w:t>
      </w:r>
      <w:r>
        <w:rPr>
          <w:spacing w:val="-4"/>
        </w:rPr>
        <w:t>了解项目情况，收集相关资料，综合分析相</w:t>
      </w:r>
      <w:r>
        <w:rPr>
          <w:spacing w:val="7"/>
        </w:rPr>
        <w:t xml:space="preserve"> </w:t>
      </w:r>
      <w:r>
        <w:rPr>
          <w:spacing w:val="-4"/>
        </w:rPr>
        <w:t>关情况后，对项目的立项必要性、投入经济性、目标合理性、方案可</w:t>
      </w:r>
      <w:r>
        <w:rPr>
          <w:spacing w:val="7"/>
        </w:rPr>
        <w:t xml:space="preserve"> </w:t>
      </w:r>
      <w:r>
        <w:rPr>
          <w:spacing w:val="-2"/>
        </w:rPr>
        <w:t>行性以及筹资合规性实施评估。</w:t>
      </w:r>
    </w:p>
    <w:p>
      <w:pPr>
        <w:ind w:left="740"/>
        <w:spacing w:before="49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五、评估内容</w:t>
      </w:r>
    </w:p>
    <w:p>
      <w:pPr>
        <w:ind w:left="752"/>
        <w:spacing w:before="262" w:line="229" w:lineRule="auto"/>
        <w:outlineLvl w:val="2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b/>
          <w:bCs/>
          <w:spacing w:val="-6"/>
        </w:rPr>
        <w:t>（一）立项必要性</w:t>
      </w:r>
    </w:p>
    <w:p>
      <w:pPr>
        <w:pStyle w:val="BodyText"/>
        <w:ind w:left="32" w:right="32" w:firstLine="559"/>
        <w:spacing w:before="251" w:line="388" w:lineRule="auto"/>
        <w:jc w:val="both"/>
        <w:rPr/>
      </w:pPr>
      <w:r>
        <w:rPr>
          <w:spacing w:val="-4"/>
        </w:rPr>
        <w:t>（主要说明立项依据，评估内容包括符合中央哪些决策部署，符</w:t>
      </w:r>
      <w:r>
        <w:rPr/>
        <w:t xml:space="preserve"> </w:t>
      </w:r>
      <w:r>
        <w:rPr>
          <w:spacing w:val="-4"/>
        </w:rPr>
        <w:t>合省委、省政府的哪些重点任务要求、发展规划、优先发展重点以及</w:t>
      </w:r>
      <w:r>
        <w:rPr>
          <w:spacing w:val="7"/>
        </w:rPr>
        <w:t xml:space="preserve"> </w:t>
      </w:r>
      <w:r>
        <w:rPr>
          <w:spacing w:val="-2"/>
        </w:rPr>
        <w:t>部门的职能分工，是否具有现实需求，是否具有明显的经</w:t>
      </w:r>
      <w:r>
        <w:rPr>
          <w:spacing w:val="-3"/>
        </w:rPr>
        <w:t>济、社会、</w:t>
      </w:r>
      <w:r>
        <w:rPr/>
        <w:t xml:space="preserve"> </w:t>
      </w:r>
      <w:r>
        <w:rPr>
          <w:spacing w:val="-2"/>
        </w:rPr>
        <w:t>环境或可持续性效益等必要性）</w:t>
      </w:r>
    </w:p>
    <w:p>
      <w:pPr>
        <w:ind w:left="593"/>
        <w:spacing w:before="86" w:line="226" w:lineRule="auto"/>
        <w:outlineLvl w:val="2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b/>
          <w:bCs/>
          <w:spacing w:val="-6"/>
        </w:rPr>
        <w:t>（二）投入经济性</w:t>
      </w:r>
    </w:p>
    <w:p>
      <w:pPr>
        <w:pStyle w:val="BodyText"/>
        <w:ind w:left="32" w:right="45" w:firstLine="559"/>
        <w:spacing w:before="259" w:line="380" w:lineRule="auto"/>
        <w:rPr/>
      </w:pPr>
      <w:r>
        <w:rPr>
          <w:spacing w:val="-4"/>
        </w:rPr>
        <w:t>（主要说明成本效益情况和预算测算情况，评估内容包括预算测</w:t>
      </w:r>
      <w:r>
        <w:rPr/>
        <w:t xml:space="preserve"> </w:t>
      </w:r>
      <w:r>
        <w:rPr>
          <w:spacing w:val="-3"/>
        </w:rPr>
        <w:t>算遵循哪些规范的支出标准依据，预算安排和绩效目标的匹配情况，</w:t>
      </w:r>
    </w:p>
    <w:p>
      <w:pPr>
        <w:spacing w:line="380" w:lineRule="auto"/>
        <w:sectPr>
          <w:pgSz w:w="11906" w:h="16839"/>
          <w:pgMar w:top="1431" w:right="1718" w:bottom="0" w:left="1785" w:header="0" w:footer="0" w:gutter="0"/>
        </w:sectPr>
        <w:rPr/>
      </w:pPr>
    </w:p>
    <w:p>
      <w:pPr>
        <w:pStyle w:val="BodyText"/>
        <w:ind w:left="441" w:right="406" w:hanging="14"/>
        <w:spacing w:before="287" w:line="380" w:lineRule="auto"/>
        <w:rPr/>
      </w:pPr>
      <w:r>
        <w:rPr>
          <w:spacing w:val="-4"/>
        </w:rPr>
        <w:t>采取什么措施以较低成本实现绩效目标，有哪些节约成本或杜绝浪费</w:t>
      </w:r>
      <w:r>
        <w:rPr>
          <w:spacing w:val="4"/>
        </w:rPr>
        <w:t xml:space="preserve"> </w:t>
      </w:r>
      <w:r>
        <w:rPr>
          <w:spacing w:val="-2"/>
        </w:rPr>
        <w:t>的措施，有哪些提高预算使用效率的措施或预案等）</w:t>
      </w:r>
    </w:p>
    <w:p>
      <w:pPr>
        <w:pStyle w:val="BodyText"/>
        <w:ind w:left="983"/>
        <w:spacing w:before="46" w:line="222" w:lineRule="auto"/>
        <w:rPr/>
      </w:pPr>
      <w:r>
        <w:rPr>
          <w:spacing w:val="-5"/>
        </w:rPr>
        <w:t>例：该项目申报预算</w:t>
      </w:r>
      <w:r>
        <w:rPr>
          <w:u w:val="single" w:color="auto"/>
          <w:spacing w:val="-5"/>
        </w:rPr>
        <w:t xml:space="preserve">    </w:t>
      </w:r>
      <w:r>
        <w:rPr>
          <w:spacing w:val="-113"/>
        </w:rPr>
        <w:t xml:space="preserve"> </w:t>
      </w:r>
      <w:r>
        <w:rPr>
          <w:spacing w:val="-5"/>
        </w:rPr>
        <w:t>万元，年度申报金额为</w:t>
      </w:r>
      <w:r>
        <w:rPr>
          <w:u w:val="single" w:color="auto"/>
          <w:spacing w:val="-5"/>
        </w:rPr>
        <w:t xml:space="preserve">    </w:t>
      </w:r>
      <w:r>
        <w:rPr>
          <w:spacing w:val="-119"/>
        </w:rPr>
        <w:t xml:space="preserve"> </w:t>
      </w:r>
      <w:r>
        <w:rPr>
          <w:spacing w:val="-5"/>
        </w:rPr>
        <w:t>万元，具体</w:t>
      </w:r>
    </w:p>
    <w:p>
      <w:pPr>
        <w:pStyle w:val="BodyText"/>
        <w:ind w:left="425"/>
        <w:spacing w:before="263" w:line="222" w:lineRule="auto"/>
        <w:rPr/>
      </w:pPr>
      <w:r>
        <w:rPr>
          <w:spacing w:val="-4"/>
        </w:rPr>
        <w:t>测算过程为…………（其中重点说明分项测算的各项成本标准）资金</w:t>
      </w:r>
    </w:p>
    <w:p>
      <w:pPr>
        <w:pStyle w:val="BodyText"/>
        <w:ind w:left="424" w:right="371" w:firstLine="1"/>
        <w:spacing w:before="256" w:line="393" w:lineRule="auto"/>
        <w:jc w:val="both"/>
        <w:rPr/>
      </w:pPr>
      <w:r>
        <w:rPr>
          <w:spacing w:val="-2"/>
        </w:rPr>
        <w:t>来源为</w:t>
      </w:r>
      <w:r>
        <w:rPr>
          <w:u w:val="single" w:color="auto"/>
          <w:spacing w:val="-2"/>
        </w:rPr>
        <w:t>省级财政资金或自有资金。</w:t>
      </w:r>
      <w:r>
        <w:rPr>
          <w:rFonts w:ascii="Times New Roman" w:hAnsi="Times New Roman" w:eastAsia="Times New Roman" w:cs="Times New Roman"/>
          <w:spacing w:val="-2"/>
        </w:rPr>
        <w:t>...</w:t>
      </w:r>
      <w:r>
        <w:rPr>
          <w:rFonts w:ascii="Times New Roman" w:hAnsi="Times New Roman" w:eastAsia="Times New Roman" w:cs="Times New Roman"/>
          <w:spacing w:val="23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...</w:t>
      </w:r>
      <w:r>
        <w:rPr>
          <w:spacing w:val="-2"/>
        </w:rPr>
        <w:t>本次对项目投入经济性的评估</w:t>
      </w:r>
      <w:r>
        <w:rPr/>
        <w:t xml:space="preserve"> </w:t>
      </w:r>
      <w:r>
        <w:rPr>
          <w:spacing w:val="-3"/>
        </w:rPr>
        <w:t>是在项目事前绩效评估、预算测算的基础上，按照厉行节约的要求，</w:t>
      </w:r>
      <w:r>
        <w:rPr>
          <w:spacing w:val="12"/>
        </w:rPr>
        <w:t xml:space="preserve"> </w:t>
      </w:r>
      <w:r>
        <w:rPr>
          <w:spacing w:val="-1"/>
        </w:rPr>
        <w:t>结合项目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20</w:t>
      </w:r>
      <w:r>
        <w:rPr>
          <w:rFonts w:ascii="Times New Roman" w:hAnsi="Times New Roman" w:eastAsia="Times New Roman" w:cs="Times New Roman"/>
          <w:u w:val="single" w:color="auto"/>
          <w:spacing w:val="-1"/>
        </w:rPr>
        <w:t xml:space="preserve">    </w:t>
      </w:r>
      <w:r>
        <w:rPr>
          <w:rFonts w:ascii="Times New Roman" w:hAnsi="Times New Roman" w:eastAsia="Times New Roman" w:cs="Times New Roman"/>
          <w:spacing w:val="-46"/>
        </w:rPr>
        <w:t xml:space="preserve"> </w:t>
      </w:r>
      <w:r>
        <w:rPr>
          <w:spacing w:val="-1"/>
        </w:rPr>
        <w:t>年开支情况结合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20</w:t>
      </w:r>
      <w:r>
        <w:rPr>
          <w:rFonts w:ascii="Times New Roman" w:hAnsi="Times New Roman" w:eastAsia="Times New Roman" w:cs="Times New Roman"/>
          <w:u w:val="single" w:color="auto"/>
          <w:spacing w:val="-1"/>
        </w:rPr>
        <w:t xml:space="preserve">    </w:t>
      </w:r>
      <w:r>
        <w:rPr>
          <w:rFonts w:ascii="Times New Roman" w:hAnsi="Times New Roman" w:eastAsia="Times New Roman" w:cs="Times New Roman"/>
          <w:spacing w:val="-46"/>
        </w:rPr>
        <w:t xml:space="preserve"> </w:t>
      </w:r>
      <w:r>
        <w:rPr>
          <w:spacing w:val="-1"/>
        </w:rPr>
        <w:t>年实际需求、相关费用标准及市</w:t>
      </w:r>
      <w:r>
        <w:rPr/>
        <w:t xml:space="preserve"> </w:t>
      </w:r>
      <w:r>
        <w:rPr>
          <w:spacing w:val="-4"/>
        </w:rPr>
        <w:t>场价格水平，重点对数量是否合理、投入是否经济、预算测算是否准</w:t>
      </w:r>
      <w:r>
        <w:rPr>
          <w:spacing w:val="7"/>
        </w:rPr>
        <w:t xml:space="preserve"> </w:t>
      </w:r>
      <w:r>
        <w:rPr>
          <w:spacing w:val="-4"/>
        </w:rPr>
        <w:t>确、测算过程是否详细、测算依据是否充分等方面进行了评估。评估</w:t>
      </w:r>
      <w:r>
        <w:rPr>
          <w:spacing w:val="7"/>
        </w:rPr>
        <w:t xml:space="preserve"> </w:t>
      </w:r>
      <w:r>
        <w:rPr>
          <w:spacing w:val="-4"/>
        </w:rPr>
        <w:t>认为，该项目任务数量</w:t>
      </w:r>
      <w:r>
        <w:rPr>
          <w:u w:val="single" w:color="auto"/>
          <w:spacing w:val="-4"/>
        </w:rPr>
        <w:t>基本合理</w:t>
      </w:r>
      <w:r>
        <w:rPr>
          <w:spacing w:val="-4"/>
        </w:rPr>
        <w:t>、预算测算过程</w:t>
      </w:r>
      <w:r>
        <w:rPr>
          <w:u w:val="single" w:color="auto"/>
          <w:spacing w:val="-4"/>
        </w:rPr>
        <w:t>较为详细</w:t>
      </w:r>
      <w:r>
        <w:rPr>
          <w:spacing w:val="-4"/>
        </w:rPr>
        <w:t>、测算依据</w:t>
      </w:r>
      <w:r>
        <w:rPr>
          <w:spacing w:val="7"/>
        </w:rPr>
        <w:t xml:space="preserve"> </w:t>
      </w:r>
      <w:r>
        <w:rPr>
          <w:u w:val="single" w:color="auto"/>
          <w:spacing w:val="-4"/>
        </w:rPr>
        <w:t>基本充分</w:t>
      </w:r>
      <w:r>
        <w:rPr>
          <w:spacing w:val="-4"/>
        </w:rPr>
        <w:t>、</w:t>
      </w:r>
      <w:r>
        <w:rPr>
          <w:u w:val="single" w:color="auto"/>
          <w:spacing w:val="-4"/>
        </w:rPr>
        <w:t>有一定的</w:t>
      </w:r>
      <w:r>
        <w:rPr>
          <w:spacing w:val="-4"/>
        </w:rPr>
        <w:t>经济性。建议预算控制在</w:t>
      </w:r>
      <w:r>
        <w:rPr>
          <w:u w:val="single" w:color="auto"/>
          <w:spacing w:val="-4"/>
        </w:rPr>
        <w:t xml:space="preserve">    </w:t>
      </w:r>
      <w:r>
        <w:rPr>
          <w:spacing w:val="-120"/>
        </w:rPr>
        <w:t xml:space="preserve"> </w:t>
      </w:r>
      <w:r>
        <w:rPr>
          <w:spacing w:val="-4"/>
        </w:rPr>
        <w:t>万元以</w:t>
      </w:r>
      <w:r>
        <w:rPr>
          <w:spacing w:val="-5"/>
        </w:rPr>
        <w:t>内，与申报</w:t>
      </w:r>
      <w:r>
        <w:rPr/>
        <w:t xml:space="preserve"> </w:t>
      </w:r>
      <w:r>
        <w:rPr>
          <w:spacing w:val="-5"/>
        </w:rPr>
        <w:t>数相比，评减</w:t>
      </w:r>
      <w:r>
        <w:rPr>
          <w:spacing w:val="-134"/>
        </w:rPr>
        <w:t xml:space="preserve"> </w:t>
      </w:r>
      <w:r>
        <w:rPr>
          <w:u w:val="single" w:color="auto"/>
          <w:spacing w:val="3"/>
        </w:rPr>
        <w:t xml:space="preserve">    </w:t>
      </w:r>
      <w:r>
        <w:rPr>
          <w:spacing w:val="-120"/>
        </w:rPr>
        <w:t xml:space="preserve"> </w:t>
      </w:r>
      <w:r>
        <w:rPr>
          <w:spacing w:val="-5"/>
        </w:rPr>
        <w:t>万元，评减率</w:t>
      </w:r>
      <w:r>
        <w:rPr>
          <w:spacing w:val="-138"/>
        </w:rPr>
        <w:t xml:space="preserve"> </w:t>
      </w:r>
      <w:r>
        <w:rPr>
          <w:u w:val="single" w:color="auto"/>
          <w:spacing w:val="3"/>
        </w:rPr>
        <w:t xml:space="preserve">    </w:t>
      </w:r>
      <w:r>
        <w:rPr>
          <w:spacing w:val="-130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%</w:t>
      </w:r>
      <w:r>
        <w:rPr>
          <w:spacing w:val="-5"/>
        </w:rPr>
        <w:t>（详见下表）。评减的主要原</w:t>
      </w:r>
      <w:r>
        <w:rPr/>
        <w:t xml:space="preserve"> </w:t>
      </w:r>
      <w:r>
        <w:rPr>
          <w:spacing w:val="-5"/>
        </w:rPr>
        <w:t>因：</w:t>
      </w:r>
      <w:r>
        <w:rPr>
          <w:u w:val="single" w:color="auto"/>
          <w:spacing w:val="-5"/>
        </w:rPr>
        <w:t>一是</w:t>
      </w:r>
      <w:r>
        <w:rPr>
          <w:rFonts w:ascii="Times New Roman" w:hAnsi="Times New Roman" w:eastAsia="Times New Roman" w:cs="Times New Roman"/>
          <w:u w:val="single" w:color="auto"/>
          <w:spacing w:val="-5"/>
        </w:rPr>
        <w:t>...</w:t>
      </w:r>
      <w:r>
        <w:rPr>
          <w:rFonts w:ascii="Times New Roman" w:hAnsi="Times New Roman" w:eastAsia="Times New Roman" w:cs="Times New Roman"/>
          <w:u w:val="single" w:color="auto"/>
          <w:spacing w:val="23"/>
        </w:rPr>
        <w:t xml:space="preserve"> </w:t>
      </w:r>
      <w:r>
        <w:rPr>
          <w:rFonts w:ascii="Times New Roman" w:hAnsi="Times New Roman" w:eastAsia="Times New Roman" w:cs="Times New Roman"/>
          <w:u w:val="single" w:color="auto"/>
          <w:spacing w:val="-5"/>
        </w:rPr>
        <w:t>...</w:t>
      </w:r>
      <w:r>
        <w:rPr>
          <w:rFonts w:ascii="Times New Roman" w:hAnsi="Times New Roman" w:eastAsia="Times New Roman" w:cs="Times New Roman"/>
          <w:u w:val="single" w:color="auto"/>
          <w:spacing w:val="-41"/>
        </w:rPr>
        <w:t xml:space="preserve"> </w:t>
      </w:r>
      <w:r>
        <w:rPr>
          <w:u w:val="single" w:color="auto"/>
          <w:spacing w:val="-5"/>
        </w:rPr>
        <w:t>二是……</w:t>
      </w:r>
    </w:p>
    <w:p>
      <w:pPr>
        <w:ind w:left="3534"/>
        <w:spacing w:before="136" w:line="221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b/>
          <w:bCs/>
        </w:rPr>
        <w:t>XX</w:t>
      </w:r>
      <w:r>
        <w:rPr>
          <w:rFonts w:ascii="SimSun" w:hAnsi="SimSun" w:eastAsia="SimSun" w:cs="SimSun"/>
          <w:sz w:val="19"/>
          <w:szCs w:val="19"/>
          <w:spacing w:val="-25"/>
        </w:rPr>
        <w:t xml:space="preserve"> </w:t>
      </w:r>
      <w:r>
        <w:rPr>
          <w:rFonts w:ascii="SimSun" w:hAnsi="SimSun" w:eastAsia="SimSun" w:cs="SimSun"/>
          <w:sz w:val="19"/>
          <w:szCs w:val="19"/>
          <w:b/>
          <w:bCs/>
          <w:spacing w:val="7"/>
        </w:rPr>
        <w:t>项目事前绩效评估汇总表</w:t>
      </w:r>
    </w:p>
    <w:tbl>
      <w:tblPr>
        <w:tblStyle w:val="TableNormal"/>
        <w:tblW w:w="911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22"/>
        <w:gridCol w:w="2666"/>
        <w:gridCol w:w="953"/>
        <w:gridCol w:w="953"/>
        <w:gridCol w:w="1003"/>
        <w:gridCol w:w="953"/>
        <w:gridCol w:w="2164"/>
      </w:tblGrid>
      <w:tr>
        <w:trPr>
          <w:trHeight w:val="647" w:hRule="atLeast"/>
        </w:trPr>
        <w:tc>
          <w:tcPr>
            <w:tcW w:w="422" w:type="dxa"/>
            <w:vAlign w:val="top"/>
            <w:textDirection w:val="tbRlV"/>
          </w:tcPr>
          <w:p>
            <w:pPr>
              <w:pStyle w:val="TableText"/>
              <w:ind w:left="138"/>
              <w:spacing w:before="127" w:line="211" w:lineRule="auto"/>
              <w:rPr/>
            </w:pPr>
            <w:r>
              <w:rPr/>
              <w:t>序  号</w:t>
            </w:r>
          </w:p>
        </w:tc>
        <w:tc>
          <w:tcPr>
            <w:tcW w:w="266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5"/>
              <w:spacing w:before="52" w:line="220" w:lineRule="auto"/>
              <w:rPr/>
            </w:pPr>
            <w:r>
              <w:rPr>
                <w:spacing w:val="-2"/>
              </w:rPr>
              <w:t>项目内容</w:t>
            </w:r>
          </w:p>
        </w:tc>
        <w:tc>
          <w:tcPr>
            <w:tcW w:w="953" w:type="dxa"/>
            <w:vAlign w:val="top"/>
          </w:tcPr>
          <w:p>
            <w:pPr>
              <w:pStyle w:val="TableText"/>
              <w:ind w:left="321" w:right="312" w:firstLine="19"/>
              <w:spacing w:before="137" w:line="288" w:lineRule="auto"/>
              <w:rPr/>
            </w:pPr>
            <w:r>
              <w:rPr>
                <w:spacing w:val="-13"/>
              </w:rPr>
              <w:t>申报</w:t>
            </w:r>
            <w:r>
              <w:rPr/>
              <w:t xml:space="preserve"> </w:t>
            </w:r>
            <w:r>
              <w:rPr>
                <w:spacing w:val="-3"/>
              </w:rPr>
              <w:t>预算</w:t>
            </w:r>
          </w:p>
        </w:tc>
        <w:tc>
          <w:tcPr>
            <w:tcW w:w="953" w:type="dxa"/>
            <w:vAlign w:val="top"/>
          </w:tcPr>
          <w:p>
            <w:pPr>
              <w:pStyle w:val="TableText"/>
              <w:ind w:left="320" w:right="312" w:hanging="2"/>
              <w:spacing w:before="137" w:line="288" w:lineRule="auto"/>
              <w:rPr/>
            </w:pPr>
            <w:r>
              <w:rPr>
                <w:spacing w:val="-2"/>
              </w:rPr>
              <w:t>送审</w:t>
            </w:r>
            <w:r>
              <w:rPr/>
              <w:t xml:space="preserve"> </w:t>
            </w:r>
            <w:r>
              <w:rPr>
                <w:spacing w:val="-3"/>
              </w:rPr>
              <w:t>金额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425" w:right="178" w:hanging="238"/>
              <w:spacing w:before="137" w:line="288" w:lineRule="auto"/>
              <w:rPr/>
            </w:pPr>
            <w:r>
              <w:rPr>
                <w:spacing w:val="-2"/>
              </w:rPr>
              <w:t>建议控制</w:t>
            </w:r>
            <w:r>
              <w:rPr/>
              <w:t xml:space="preserve"> </w:t>
            </w:r>
            <w:r>
              <w:rPr/>
              <w:t>额</w:t>
            </w:r>
          </w:p>
        </w:tc>
        <w:tc>
          <w:tcPr>
            <w:tcW w:w="95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52" w:line="221" w:lineRule="auto"/>
              <w:rPr/>
            </w:pPr>
            <w:r>
              <w:rPr>
                <w:spacing w:val="-4"/>
              </w:rPr>
              <w:t>核减</w:t>
            </w:r>
          </w:p>
        </w:tc>
        <w:tc>
          <w:tcPr>
            <w:tcW w:w="2164" w:type="dxa"/>
            <w:vAlign w:val="top"/>
            <w:vMerge w:val="restart"/>
            <w:tcBorders>
              <w:bottom w:val="nil"/>
            </w:tcBorders>
          </w:tcPr>
          <w:p>
            <w:pPr>
              <w:spacing w:line="4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28"/>
              <w:spacing w:before="52" w:line="222" w:lineRule="auto"/>
              <w:rPr/>
            </w:pPr>
            <w:r>
              <w:rPr>
                <w:spacing w:val="-4"/>
              </w:rPr>
              <w:t>备注</w:t>
            </w:r>
          </w:p>
        </w:tc>
      </w:tr>
      <w:tr>
        <w:trPr>
          <w:trHeight w:val="344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66" w:type="dxa"/>
            <w:vAlign w:val="top"/>
          </w:tcPr>
          <w:p>
            <w:pPr>
              <w:pStyle w:val="TableText"/>
              <w:ind w:left="855"/>
              <w:spacing w:before="146" w:line="216" w:lineRule="auto"/>
              <w:rPr/>
            </w:pPr>
            <w:r>
              <w:rPr>
                <w:spacing w:val="-1"/>
              </w:rPr>
              <w:t>合计（万元）</w:t>
            </w: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66" w:type="dxa"/>
            <w:vAlign w:val="top"/>
          </w:tcPr>
          <w:p>
            <w:pPr>
              <w:pStyle w:val="TableText"/>
              <w:ind w:left="1058"/>
              <w:spacing w:before="266" w:line="66" w:lineRule="exact"/>
              <w:rPr/>
            </w:pPr>
            <w:r>
              <w:rPr>
                <w:spacing w:val="-2"/>
                <w:position w:val="1"/>
              </w:rPr>
              <w:t>...</w:t>
            </w:r>
            <w:r>
              <w:rPr>
                <w:spacing w:val="10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...</w:t>
            </w: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ind w:left="995"/>
        <w:spacing w:before="92" w:line="230" w:lineRule="auto"/>
        <w:outlineLvl w:val="2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b/>
          <w:bCs/>
          <w:spacing w:val="-15"/>
        </w:rPr>
        <w:t>（三）</w:t>
      </w:r>
      <w:r>
        <w:rPr>
          <w:rFonts w:ascii="KaiTi" w:hAnsi="KaiTi" w:eastAsia="KaiTi" w:cs="KaiTi"/>
          <w:sz w:val="28"/>
          <w:szCs w:val="28"/>
          <w:spacing w:val="-66"/>
        </w:rPr>
        <w:t xml:space="preserve"> </w:t>
      </w:r>
      <w:r>
        <w:rPr>
          <w:rFonts w:ascii="KaiTi" w:hAnsi="KaiTi" w:eastAsia="KaiTi" w:cs="KaiTi"/>
          <w:sz w:val="28"/>
          <w:szCs w:val="28"/>
          <w:b/>
          <w:bCs/>
          <w:spacing w:val="-15"/>
        </w:rPr>
        <w:t>目标合理性</w:t>
      </w:r>
    </w:p>
    <w:p>
      <w:pPr>
        <w:pStyle w:val="BodyText"/>
        <w:ind w:left="424" w:right="371" w:firstLine="560"/>
        <w:spacing w:before="251" w:line="388" w:lineRule="auto"/>
        <w:jc w:val="both"/>
        <w:rPr/>
      </w:pPr>
      <w:r>
        <w:rPr>
          <w:spacing w:val="-4"/>
        </w:rPr>
        <w:t>（主要说明绩效目标设置情况，并附绩效目标表，评估内容包括</w:t>
      </w:r>
      <w:r>
        <w:rPr/>
        <w:t xml:space="preserve"> </w:t>
      </w:r>
      <w:r>
        <w:rPr>
          <w:spacing w:val="-3"/>
        </w:rPr>
        <w:t>绩效目标和绩效指标是否量化可考核，是否相匹配，是否全面完整，</w:t>
      </w:r>
      <w:r>
        <w:rPr>
          <w:spacing w:val="12"/>
        </w:rPr>
        <w:t xml:space="preserve"> </w:t>
      </w:r>
      <w:r>
        <w:rPr>
          <w:spacing w:val="-4"/>
        </w:rPr>
        <w:t>是否契合政策或项目实质，是否与部门的长期规划目标、年度工作目</w:t>
      </w:r>
      <w:r>
        <w:rPr>
          <w:spacing w:val="7"/>
        </w:rPr>
        <w:t xml:space="preserve"> </w:t>
      </w:r>
      <w:r>
        <w:rPr>
          <w:spacing w:val="-4"/>
        </w:rPr>
        <w:t>标相一致，产出和效果是否相关联，各项绩效指标值的设定依据和参</w:t>
      </w:r>
    </w:p>
    <w:p>
      <w:pPr>
        <w:spacing w:line="388" w:lineRule="auto"/>
        <w:sectPr>
          <w:pgSz w:w="11906" w:h="16839"/>
          <w:pgMar w:top="1431" w:right="1393" w:bottom="0" w:left="1393" w:header="0" w:footer="0" w:gutter="0"/>
        </w:sectPr>
        <w:rPr/>
      </w:pPr>
    </w:p>
    <w:p>
      <w:pPr>
        <w:pStyle w:val="BodyText"/>
        <w:ind w:left="33"/>
        <w:spacing w:before="286" w:line="223" w:lineRule="auto"/>
        <w:rPr/>
      </w:pPr>
      <w:r>
        <w:rPr>
          <w:spacing w:val="-2"/>
        </w:rPr>
        <w:t>考标准，满意度指标预测等）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ind w:left="3138"/>
        <w:spacing w:before="62" w:line="221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b/>
          <w:bCs/>
          <w:spacing w:val="10"/>
        </w:rPr>
        <w:t>四川</w:t>
      </w:r>
      <w:r>
        <w:rPr>
          <w:rFonts w:ascii="SimSun" w:hAnsi="SimSun" w:eastAsia="SimSun" w:cs="SimSun"/>
          <w:sz w:val="19"/>
          <w:szCs w:val="19"/>
          <w:b/>
          <w:bCs/>
        </w:rPr>
        <w:t>XX</w:t>
      </w:r>
      <w:r>
        <w:rPr>
          <w:rFonts w:ascii="SimSun" w:hAnsi="SimSun" w:eastAsia="SimSun" w:cs="SimSun"/>
          <w:sz w:val="19"/>
          <w:szCs w:val="19"/>
          <w:spacing w:val="-30"/>
        </w:rPr>
        <w:t xml:space="preserve"> </w:t>
      </w:r>
      <w:r>
        <w:rPr>
          <w:rFonts w:ascii="SimSun" w:hAnsi="SimSun" w:eastAsia="SimSun" w:cs="SimSun"/>
          <w:sz w:val="19"/>
          <w:szCs w:val="19"/>
          <w:b/>
          <w:bCs/>
          <w:spacing w:val="10"/>
        </w:rPr>
        <w:t>项目绩效目标表</w:t>
      </w:r>
    </w:p>
    <w:tbl>
      <w:tblPr>
        <w:tblStyle w:val="TableNormal"/>
        <w:tblW w:w="8935" w:type="dxa"/>
        <w:tblInd w:w="1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22"/>
        <w:gridCol w:w="1558"/>
        <w:gridCol w:w="2975"/>
        <w:gridCol w:w="2980"/>
      </w:tblGrid>
      <w:tr>
        <w:trPr>
          <w:trHeight w:val="362" w:hRule="atLeast"/>
        </w:trPr>
        <w:tc>
          <w:tcPr>
            <w:tcW w:w="1422" w:type="dxa"/>
            <w:vAlign w:val="top"/>
          </w:tcPr>
          <w:p>
            <w:pPr>
              <w:pStyle w:val="TableText"/>
              <w:ind w:left="395"/>
              <w:spacing w:before="164" w:line="216" w:lineRule="auto"/>
              <w:rPr/>
            </w:pPr>
            <w:r>
              <w:rPr>
                <w:b/>
                <w:bCs/>
                <w:spacing w:val="-4"/>
              </w:rPr>
              <w:t>一级指标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463"/>
              <w:spacing w:before="164" w:line="216" w:lineRule="auto"/>
              <w:rPr/>
            </w:pPr>
            <w:r>
              <w:rPr>
                <w:b/>
                <w:bCs/>
                <w:spacing w:val="-4"/>
              </w:rPr>
              <w:t>二级指标</w:t>
            </w:r>
          </w:p>
        </w:tc>
        <w:tc>
          <w:tcPr>
            <w:tcW w:w="2975" w:type="dxa"/>
            <w:vAlign w:val="top"/>
          </w:tcPr>
          <w:p>
            <w:pPr>
              <w:pStyle w:val="TableText"/>
              <w:ind w:left="1170"/>
              <w:spacing w:before="164" w:line="216" w:lineRule="auto"/>
              <w:rPr/>
            </w:pPr>
            <w:r>
              <w:rPr>
                <w:b/>
                <w:bCs/>
                <w:spacing w:val="-3"/>
              </w:rPr>
              <w:t>三级指标</w:t>
            </w:r>
          </w:p>
        </w:tc>
        <w:tc>
          <w:tcPr>
            <w:tcW w:w="2980" w:type="dxa"/>
            <w:vAlign w:val="top"/>
          </w:tcPr>
          <w:p>
            <w:pPr>
              <w:pStyle w:val="TableText"/>
              <w:ind w:left="1253"/>
              <w:spacing w:before="164" w:line="216" w:lineRule="auto"/>
              <w:rPr/>
            </w:pPr>
            <w:r>
              <w:rPr>
                <w:b/>
                <w:bCs/>
                <w:spacing w:val="-4"/>
              </w:rPr>
              <w:t>指标值</w:t>
            </w:r>
          </w:p>
        </w:tc>
      </w:tr>
      <w:tr>
        <w:trPr>
          <w:trHeight w:val="362" w:hRule="atLeast"/>
        </w:trPr>
        <w:tc>
          <w:tcPr>
            <w:tcW w:w="1422" w:type="dxa"/>
            <w:vAlign w:val="top"/>
          </w:tcPr>
          <w:p>
            <w:pPr>
              <w:pStyle w:val="TableText"/>
              <w:ind w:left="440"/>
              <w:spacing w:before="281" w:line="66" w:lineRule="exact"/>
              <w:rPr/>
            </w:pPr>
            <w:r>
              <w:rPr>
                <w:spacing w:val="-2"/>
                <w:position w:val="1"/>
              </w:rPr>
              <w:t>...</w:t>
            </w:r>
            <w:r>
              <w:rPr>
                <w:spacing w:val="10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...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ind w:left="603"/>
        <w:spacing w:before="91" w:line="230" w:lineRule="auto"/>
        <w:outlineLvl w:val="2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b/>
          <w:bCs/>
          <w:spacing w:val="-6"/>
        </w:rPr>
        <w:t>（四）实施可行性</w:t>
      </w:r>
    </w:p>
    <w:p>
      <w:pPr>
        <w:pStyle w:val="BodyText"/>
        <w:ind w:left="31" w:right="548" w:firstLine="560"/>
        <w:spacing w:before="207" w:line="390" w:lineRule="auto"/>
        <w:jc w:val="both"/>
        <w:rPr/>
      </w:pPr>
      <w:r>
        <w:rPr>
          <w:spacing w:val="-4"/>
        </w:rPr>
        <w:t>（主要说明实施的计划性，评估内容包括是否制定实施方案或计</w:t>
      </w:r>
      <w:r>
        <w:rPr/>
        <w:t xml:space="preserve"> </w:t>
      </w:r>
      <w:r>
        <w:rPr>
          <w:spacing w:val="-10"/>
        </w:rPr>
        <w:t>划，组织机构是否健全，职责分工是否明确，是否有具体的实施时</w:t>
      </w:r>
      <w:r>
        <w:rPr>
          <w:spacing w:val="-11"/>
        </w:rPr>
        <w:t>间，</w:t>
      </w:r>
      <w:r>
        <w:rPr/>
        <w:t xml:space="preserve"> </w:t>
      </w:r>
      <w:r>
        <w:rPr>
          <w:spacing w:val="-4"/>
        </w:rPr>
        <w:t>是否有明确的工作程序，基础设施条件是否能够有效保障，资金能否</w:t>
      </w:r>
      <w:r>
        <w:rPr>
          <w:spacing w:val="7"/>
        </w:rPr>
        <w:t xml:space="preserve"> </w:t>
      </w:r>
      <w:r>
        <w:rPr>
          <w:spacing w:val="-10"/>
        </w:rPr>
        <w:t>足额保证，是否具有相应的质量检查、验收等必要的控制措施或手</w:t>
      </w:r>
      <w:r>
        <w:rPr>
          <w:spacing w:val="-11"/>
        </w:rPr>
        <w:t>段，</w:t>
      </w:r>
      <w:r>
        <w:rPr/>
        <w:t xml:space="preserve"> </w:t>
      </w:r>
      <w:r>
        <w:rPr>
          <w:spacing w:val="-1"/>
        </w:rPr>
        <w:t>是否有针对突发事件或未知风险的应急措施等）</w:t>
      </w:r>
    </w:p>
    <w:p>
      <w:pPr>
        <w:ind w:left="603"/>
        <w:spacing w:before="44" w:line="227" w:lineRule="auto"/>
        <w:outlineLvl w:val="2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b/>
          <w:bCs/>
          <w:spacing w:val="-6"/>
        </w:rPr>
        <w:t>（五）筹资合规性</w:t>
      </w:r>
    </w:p>
    <w:p>
      <w:pPr>
        <w:pStyle w:val="BodyText"/>
        <w:ind w:left="41" w:right="629" w:firstLine="550"/>
        <w:spacing w:before="257" w:line="388" w:lineRule="auto"/>
        <w:jc w:val="both"/>
        <w:rPr/>
      </w:pPr>
      <w:r>
        <w:rPr>
          <w:spacing w:val="-4"/>
        </w:rPr>
        <w:t>（主要说明资金来源渠道的合法合规性，评估内容包括政策或项</w:t>
      </w:r>
      <w:r>
        <w:rPr/>
        <w:t xml:space="preserve"> </w:t>
      </w:r>
      <w:r>
        <w:rPr>
          <w:spacing w:val="-4"/>
        </w:rPr>
        <w:t>目是否具有公共性，是否属于公共财政支持范围，筹资渠道是否</w:t>
      </w:r>
      <w:r>
        <w:rPr>
          <w:spacing w:val="-5"/>
        </w:rPr>
        <w:t>符合</w:t>
      </w:r>
      <w:r>
        <w:rPr/>
        <w:t xml:space="preserve"> </w:t>
      </w:r>
      <w:r>
        <w:rPr>
          <w:spacing w:val="-4"/>
        </w:rPr>
        <w:t>法律法规规定，筹资结构是否合理，资金来源渠道是否明确，各</w:t>
      </w:r>
      <w:r>
        <w:rPr>
          <w:spacing w:val="-5"/>
        </w:rPr>
        <w:t>渠道</w:t>
      </w:r>
      <w:r>
        <w:rPr/>
        <w:t xml:space="preserve"> </w:t>
      </w:r>
      <w:r>
        <w:rPr>
          <w:spacing w:val="-2"/>
        </w:rPr>
        <w:t>资金到位时间、条件是否能够落实等）</w:t>
      </w:r>
    </w:p>
    <w:p>
      <w:pPr>
        <w:ind w:left="603"/>
        <w:spacing w:before="45" w:line="224" w:lineRule="auto"/>
        <w:outlineLvl w:val="2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b/>
          <w:bCs/>
          <w:spacing w:val="-4"/>
        </w:rPr>
        <w:t>（六）以前年度绩效评价情况（适用于延续性项目）</w:t>
      </w:r>
    </w:p>
    <w:p>
      <w:pPr>
        <w:pStyle w:val="BodyText"/>
        <w:ind w:left="32" w:right="629" w:firstLine="559"/>
        <w:spacing w:before="262" w:line="385" w:lineRule="auto"/>
        <w:jc w:val="both"/>
        <w:rPr/>
      </w:pPr>
      <w:r>
        <w:rPr>
          <w:spacing w:val="6"/>
        </w:rPr>
        <w:t>（主要说明近年度部门对该项目开展绩效评价或接受财政部门</w:t>
      </w:r>
      <w:r>
        <w:rPr>
          <w:spacing w:val="5"/>
        </w:rPr>
        <w:t xml:space="preserve"> </w:t>
      </w:r>
      <w:r>
        <w:rPr>
          <w:spacing w:val="-4"/>
        </w:rPr>
        <w:t>组织的绩效评价情况，说明评价得分或者等级，绩效评价提出的主要</w:t>
      </w:r>
      <w:r>
        <w:rPr>
          <w:spacing w:val="7"/>
        </w:rPr>
        <w:t xml:space="preserve"> </w:t>
      </w:r>
      <w:r>
        <w:rPr>
          <w:spacing w:val="-1"/>
        </w:rPr>
        <w:t>建议以及根据评价结果完善改进的有关情况）</w:t>
      </w:r>
    </w:p>
    <w:p>
      <w:pPr>
        <w:ind w:left="592"/>
        <w:spacing w:before="48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六、评估结论</w:t>
      </w:r>
    </w:p>
    <w:p>
      <w:pPr>
        <w:pStyle w:val="BodyText"/>
        <w:ind w:left="652"/>
        <w:spacing w:before="303" w:line="221" w:lineRule="auto"/>
        <w:rPr/>
      </w:pPr>
      <w:r>
        <w:rPr>
          <w:spacing w:val="-1"/>
        </w:rPr>
        <w:t>（包括评估结论、建议预算控制数、相关理由等）</w:t>
      </w:r>
    </w:p>
    <w:p>
      <w:pPr>
        <w:pStyle w:val="BodyText"/>
        <w:ind w:left="36" w:right="629" w:firstLine="614"/>
        <w:spacing w:before="264" w:line="380" w:lineRule="auto"/>
        <w:rPr/>
      </w:pPr>
      <w:r>
        <w:rPr>
          <w:spacing w:val="4"/>
        </w:rPr>
        <w:t>例：综合前述评估内容来看，该项目立项必要性和依据</w:t>
      </w:r>
      <w:r>
        <w:rPr>
          <w:u w:val="single" w:color="auto"/>
          <w:spacing w:val="4"/>
        </w:rPr>
        <w:t>是否</w:t>
      </w:r>
      <w:r>
        <w:rPr>
          <w:spacing w:val="4"/>
        </w:rPr>
        <w:t>充</w:t>
      </w:r>
      <w:r>
        <w:rPr/>
        <w:t xml:space="preserve"> </w:t>
      </w:r>
      <w:r>
        <w:rPr>
          <w:spacing w:val="-4"/>
        </w:rPr>
        <w:t>分，绩效目标</w:t>
      </w:r>
      <w:r>
        <w:rPr>
          <w:u w:val="single" w:color="auto"/>
          <w:spacing w:val="-4"/>
        </w:rPr>
        <w:t>是否</w:t>
      </w:r>
      <w:r>
        <w:rPr>
          <w:spacing w:val="-4"/>
        </w:rPr>
        <w:t>明确，</w:t>
      </w:r>
      <w:r>
        <w:rPr>
          <w:u w:val="single" w:color="auto"/>
          <w:spacing w:val="-4"/>
        </w:rPr>
        <w:t>是否</w:t>
      </w:r>
      <w:r>
        <w:rPr>
          <w:spacing w:val="-4"/>
        </w:rPr>
        <w:t>具备实施条件，</w:t>
      </w:r>
      <w:r>
        <w:rPr>
          <w:u w:val="single" w:color="auto"/>
          <w:spacing w:val="-4"/>
        </w:rPr>
        <w:t>是否</w:t>
      </w:r>
      <w:r>
        <w:rPr>
          <w:spacing w:val="-4"/>
        </w:rPr>
        <w:t>具有公共性，</w:t>
      </w:r>
      <w:r>
        <w:rPr>
          <w:u w:val="single" w:color="auto"/>
          <w:spacing w:val="-4"/>
        </w:rPr>
        <w:t>是否</w:t>
      </w:r>
    </w:p>
    <w:p>
      <w:pPr>
        <w:spacing w:line="380" w:lineRule="auto"/>
        <w:sectPr>
          <w:pgSz w:w="11906" w:h="16839"/>
          <w:pgMar w:top="1431" w:right="1170" w:bottom="0" w:left="1785" w:header="0" w:footer="0" w:gutter="0"/>
        </w:sectPr>
        <w:rPr/>
      </w:pPr>
    </w:p>
    <w:p>
      <w:pPr>
        <w:pStyle w:val="BodyText"/>
        <w:ind w:left="31" w:right="76" w:firstLine="7"/>
        <w:spacing w:before="289" w:line="391" w:lineRule="auto"/>
        <w:jc w:val="both"/>
        <w:rPr>
          <w:rFonts w:ascii="Times New Roman" w:hAnsi="Times New Roman" w:eastAsia="Times New Roman" w:cs="Times New Roman"/>
        </w:rPr>
      </w:pPr>
      <w:r>
        <w:rPr/>
        <w:t>符合财政资金支持方向等。</w:t>
      </w:r>
      <w:r>
        <w:rPr>
          <w:b/>
          <w:bCs/>
        </w:rPr>
        <w:t>建议</w:t>
      </w:r>
      <w:r>
        <w:rPr>
          <w:u w:val="single" w:color="auto"/>
        </w:rPr>
        <w:t>予以支持</w:t>
      </w:r>
      <w:r>
        <w:rPr>
          <w:rFonts w:ascii="Times New Roman" w:hAnsi="Times New Roman" w:eastAsia="Times New Roman" w:cs="Times New Roman"/>
          <w:u w:val="single" w:color="auto"/>
        </w:rPr>
        <w:t>/</w:t>
      </w:r>
      <w:r>
        <w:rPr>
          <w:u w:val="single" w:color="auto"/>
        </w:rPr>
        <w:t>部分支持</w:t>
      </w:r>
      <w:r>
        <w:rPr>
          <w:rFonts w:ascii="Times New Roman" w:hAnsi="Times New Roman" w:eastAsia="Times New Roman" w:cs="Times New Roman"/>
          <w:u w:val="single" w:color="auto"/>
        </w:rPr>
        <w:t>/</w:t>
      </w:r>
      <w:r>
        <w:rPr>
          <w:u w:val="single" w:color="auto"/>
        </w:rPr>
        <w:t>不予支持</w:t>
      </w:r>
      <w:r>
        <w:rPr/>
        <w:t>，</w:t>
      </w:r>
      <w:r>
        <w:rPr>
          <w:spacing w:val="-1"/>
        </w:rPr>
        <w:t>预算</w:t>
      </w:r>
      <w:r>
        <w:rPr/>
        <w:t xml:space="preserve"> </w:t>
      </w:r>
      <w:r>
        <w:rPr>
          <w:spacing w:val="-5"/>
        </w:rPr>
        <w:t>控制在</w:t>
      </w:r>
      <w:r>
        <w:rPr>
          <w:u w:val="single" w:color="auto"/>
          <w:spacing w:val="-5"/>
        </w:rPr>
        <w:t xml:space="preserve">    </w:t>
      </w:r>
      <w:r>
        <w:rPr>
          <w:spacing w:val="-104"/>
        </w:rPr>
        <w:t xml:space="preserve"> </w:t>
      </w:r>
      <w:r>
        <w:rPr>
          <w:spacing w:val="-5"/>
        </w:rPr>
        <w:t>万元以内。该项目申请资金总预算</w:t>
      </w:r>
      <w:r>
        <w:rPr>
          <w:u w:val="single" w:color="auto"/>
          <w:spacing w:val="-5"/>
        </w:rPr>
        <w:t xml:space="preserve">    </w:t>
      </w:r>
      <w:r>
        <w:rPr>
          <w:spacing w:val="-119"/>
        </w:rPr>
        <w:t xml:space="preserve"> </w:t>
      </w:r>
      <w:r>
        <w:rPr>
          <w:spacing w:val="-5"/>
        </w:rPr>
        <w:t>万元，经评审，建</w:t>
      </w:r>
      <w:r>
        <w:rPr/>
        <w:t xml:space="preserve"> </w:t>
      </w:r>
      <w:r>
        <w:rPr>
          <w:spacing w:val="-4"/>
        </w:rPr>
        <w:t>议预算申报数</w:t>
      </w:r>
      <w:r>
        <w:rPr>
          <w:u w:val="single" w:color="auto"/>
          <w:spacing w:val="-4"/>
        </w:rPr>
        <w:t xml:space="preserve">    </w:t>
      </w:r>
      <w:r>
        <w:rPr>
          <w:spacing w:val="-119"/>
        </w:rPr>
        <w:t xml:space="preserve"> </w:t>
      </w:r>
      <w:r>
        <w:rPr>
          <w:spacing w:val="-4"/>
        </w:rPr>
        <w:t>万元（如为分年度实施项目，还需说</w:t>
      </w:r>
      <w:r>
        <w:rPr>
          <w:spacing w:val="-5"/>
        </w:rPr>
        <w:t>明分年度预算</w:t>
      </w:r>
      <w:r>
        <w:rPr/>
        <w:t xml:space="preserve"> </w:t>
      </w:r>
      <w:r>
        <w:rPr>
          <w:spacing w:val="-2"/>
        </w:rPr>
        <w:t>安排建议情况</w:t>
      </w:r>
      <w:r>
        <w:rPr>
          <w:spacing w:val="-55"/>
        </w:rPr>
        <w:t>），</w:t>
      </w:r>
      <w:r>
        <w:rPr>
          <w:spacing w:val="-2"/>
        </w:rPr>
        <w:t>合计评减</w:t>
      </w:r>
      <w:r>
        <w:rPr>
          <w:u w:val="single" w:color="auto"/>
          <w:spacing w:val="-2"/>
        </w:rPr>
        <w:t xml:space="preserve">    </w:t>
      </w:r>
      <w:r>
        <w:rPr>
          <w:spacing w:val="-118"/>
        </w:rPr>
        <w:t xml:space="preserve"> </w:t>
      </w:r>
      <w:r>
        <w:rPr>
          <w:spacing w:val="-2"/>
        </w:rPr>
        <w:t>万元，评减率</w:t>
      </w:r>
      <w:r>
        <w:rPr>
          <w:u w:val="single" w:color="auto"/>
          <w:spacing w:val="-2"/>
        </w:rPr>
        <w:t xml:space="preserve">    </w:t>
      </w:r>
      <w:r>
        <w:rPr>
          <w:spacing w:val="-101"/>
        </w:rPr>
        <w:t xml:space="preserve"> </w:t>
      </w:r>
      <w:r>
        <w:rPr>
          <w:spacing w:val="-2"/>
        </w:rPr>
        <w:t>。评减的主要原因</w:t>
      </w:r>
      <w:r>
        <w:rPr/>
        <w:t xml:space="preserve"> </w:t>
      </w:r>
      <w:r>
        <w:rPr>
          <w:spacing w:val="-3"/>
        </w:rPr>
        <w:t>是：</w:t>
      </w:r>
      <w:r>
        <w:rPr>
          <w:u w:val="single" w:color="auto"/>
          <w:spacing w:val="3"/>
        </w:rPr>
        <w:t xml:space="preserve">                       </w:t>
      </w:r>
      <w:r>
        <w:rPr>
          <w:u w:val="single" w:color="auto"/>
          <w:spacing w:val="-3"/>
        </w:rPr>
        <w:t>。</w:t>
      </w:r>
      <w:r>
        <w:rPr>
          <w:spacing w:val="-3"/>
        </w:rPr>
        <w:t>我单位将进一步</w:t>
      </w:r>
      <w:r>
        <w:rPr>
          <w:u w:val="single" w:color="auto"/>
          <w:spacing w:val="-3"/>
        </w:rPr>
        <w:t>优化完善实施方案</w:t>
      </w:r>
      <w:r>
        <w:rPr>
          <w:spacing w:val="12"/>
        </w:rPr>
        <w:t xml:space="preserve"> </w:t>
      </w:r>
      <w:r>
        <w:rPr>
          <w:u w:val="single" w:color="auto"/>
          <w:spacing w:val="-4"/>
        </w:rPr>
        <w:t>和绩效目标，加强运行监控，节约财政资金并提升资金效益，提升预</w:t>
      </w:r>
      <w:r>
        <w:rPr>
          <w:spacing w:val="7"/>
        </w:rPr>
        <w:t xml:space="preserve"> </w:t>
      </w:r>
      <w:r>
        <w:rPr>
          <w:u w:val="single" w:color="auto"/>
          <w:spacing w:val="-2"/>
        </w:rPr>
        <w:t>算绩效管理水平</w:t>
      </w:r>
      <w:r>
        <w:rPr>
          <w:rFonts w:ascii="Times New Roman" w:hAnsi="Times New Roman" w:eastAsia="Times New Roman" w:cs="Times New Roman"/>
          <w:u w:val="single" w:color="auto"/>
          <w:spacing w:val="-2"/>
        </w:rPr>
        <w:t>...</w:t>
      </w:r>
      <w:r>
        <w:rPr>
          <w:rFonts w:ascii="Times New Roman" w:hAnsi="Times New Roman" w:eastAsia="Times New Roman" w:cs="Times New Roman"/>
          <w:u w:val="single" w:color="auto"/>
          <w:spacing w:val="25"/>
        </w:rPr>
        <w:t xml:space="preserve"> </w:t>
      </w:r>
      <w:r>
        <w:rPr>
          <w:rFonts w:ascii="Times New Roman" w:hAnsi="Times New Roman" w:eastAsia="Times New Roman" w:cs="Times New Roman"/>
          <w:u w:val="single" w:color="auto"/>
          <w:spacing w:val="-2"/>
        </w:rPr>
        <w:t>...</w:t>
      </w:r>
    </w:p>
    <w:p>
      <w:pPr>
        <w:ind w:left="664"/>
        <w:spacing w:before="7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七、其它说明事项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23" w:firstLine="660"/>
        <w:spacing w:before="91" w:line="386" w:lineRule="auto"/>
        <w:jc w:val="both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3"/>
        </w:rPr>
        <w:t>（注：属于项目设立、预算标准和金额等都有硬性</w:t>
      </w:r>
      <w:r>
        <w:rPr>
          <w:rFonts w:ascii="SimHei" w:hAnsi="SimHei" w:eastAsia="SimHei" w:cs="SimHei"/>
          <w:sz w:val="28"/>
          <w:szCs w:val="28"/>
          <w:spacing w:val="2"/>
        </w:rPr>
        <w:t>明确规定的</w:t>
      </w:r>
      <w:r>
        <w:rPr>
          <w:rFonts w:ascii="SimHei" w:hAnsi="SimHei" w:eastAsia="SimHei" w:cs="SimHei"/>
          <w:sz w:val="28"/>
          <w:szCs w:val="28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10"/>
        </w:rPr>
        <w:t>项目，如债务还本付息类项目等，可无需严格按照评估报告模板撰写，</w:t>
      </w:r>
      <w:r>
        <w:rPr>
          <w:rFonts w:ascii="SimHei" w:hAnsi="SimHei" w:eastAsia="SimHei" w:cs="SimHei"/>
          <w:sz w:val="28"/>
          <w:szCs w:val="28"/>
          <w:spacing w:val="1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6"/>
        </w:rPr>
        <w:t>将项目基本情况和预算申请情况表述清晰即可。）</w:t>
      </w:r>
    </w:p>
    <w:sectPr>
      <w:pgSz w:w="11906" w:h="16839"/>
      <w:pgMar w:top="1431" w:right="1723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2023-06-19T10:08:39Z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2024-06-17T17:19:16</vt:filetime>
  </property>
</Properties>
</file>